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89B77" w14:textId="77777777" w:rsidR="00DC5FCB" w:rsidRDefault="00DC5FCB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4BDDF6A" w14:textId="46E84F5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CÂMARA MUNICIPAL DE VEREADORES</w:t>
      </w:r>
    </w:p>
    <w:p w14:paraId="1330C2A6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50A80550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58E0B1F1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B625997" w14:textId="4CD6E83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- Processo de Prestação de Contas do Prefeito referente ao exercício 20</w:t>
      </w:r>
      <w:r w:rsidR="0011006E">
        <w:rPr>
          <w:rFonts w:ascii="Arial" w:hAnsi="Arial" w:cs="Arial"/>
          <w:sz w:val="24"/>
          <w:szCs w:val="24"/>
        </w:rPr>
        <w:t>2</w:t>
      </w:r>
      <w:r w:rsidR="000E1A0D">
        <w:rPr>
          <w:rFonts w:ascii="Arial" w:hAnsi="Arial" w:cs="Arial"/>
          <w:sz w:val="24"/>
          <w:szCs w:val="24"/>
        </w:rPr>
        <w:t>3</w:t>
      </w:r>
      <w:r w:rsidR="007C164B" w:rsidRPr="005506AB">
        <w:rPr>
          <w:rFonts w:ascii="Arial" w:hAnsi="Arial" w:cs="Arial"/>
          <w:sz w:val="24"/>
          <w:szCs w:val="24"/>
        </w:rPr>
        <w:t xml:space="preserve"> </w:t>
      </w:r>
      <w:r w:rsidR="000E1A0D" w:rsidRPr="00446BF6">
        <w:rPr>
          <w:rFonts w:ascii="Arial" w:hAnsi="Arial" w:cs="Arial"/>
          <w:sz w:val="24"/>
          <w:szCs w:val="24"/>
        </w:rPr>
        <w:t>@PCP</w:t>
      </w:r>
      <w:r w:rsidR="000E1A0D">
        <w:rPr>
          <w:rFonts w:ascii="Arial" w:hAnsi="Arial" w:cs="Arial"/>
          <w:sz w:val="24"/>
          <w:szCs w:val="24"/>
        </w:rPr>
        <w:t xml:space="preserve"> </w:t>
      </w:r>
      <w:r w:rsidR="000E1A0D" w:rsidRPr="00B41769">
        <w:rPr>
          <w:rFonts w:ascii="Arial" w:hAnsi="Arial" w:cs="Arial"/>
          <w:sz w:val="24"/>
          <w:szCs w:val="24"/>
        </w:rPr>
        <w:t>24/00172778</w:t>
      </w:r>
      <w:r w:rsidR="000E1A0D">
        <w:rPr>
          <w:rFonts w:ascii="Arial" w:hAnsi="Arial" w:cs="Arial"/>
          <w:sz w:val="24"/>
          <w:szCs w:val="24"/>
        </w:rPr>
        <w:t xml:space="preserve"> </w:t>
      </w:r>
      <w:r w:rsidRPr="005506AB">
        <w:rPr>
          <w:rFonts w:ascii="Arial" w:hAnsi="Arial" w:cs="Arial"/>
          <w:sz w:val="24"/>
          <w:szCs w:val="24"/>
        </w:rPr>
        <w:t>da Prefeitura Municipal de Tunápolis, com o Parecer Prévio do Tribunal de Contas do Estado.</w:t>
      </w:r>
    </w:p>
    <w:p w14:paraId="0713F649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3DC0EE3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PARECER</w:t>
      </w:r>
    </w:p>
    <w:p w14:paraId="4C33CF10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A9B8648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Cumprindo determinação da Comissão de Finanças, Orçamento e Contas do Município, como relator, exaro o seguinte Parecer sobre a matéria: </w:t>
      </w:r>
    </w:p>
    <w:p w14:paraId="3B7B6075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C8B97B6" w14:textId="1D9B0FF6" w:rsidR="00BB1B5A" w:rsidRDefault="00ED6468" w:rsidP="00F63116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ab/>
      </w:r>
      <w:r w:rsidR="00A525B2" w:rsidRPr="005506AB">
        <w:rPr>
          <w:rFonts w:ascii="Arial" w:hAnsi="Arial" w:cs="Arial"/>
          <w:sz w:val="24"/>
          <w:szCs w:val="24"/>
        </w:rPr>
        <w:t>Declaro que o Processo de Prestação de Contas do Prefeito referente ao exercício 20</w:t>
      </w:r>
      <w:r w:rsidR="0011006E">
        <w:rPr>
          <w:rFonts w:ascii="Arial" w:hAnsi="Arial" w:cs="Arial"/>
          <w:sz w:val="24"/>
          <w:szCs w:val="24"/>
        </w:rPr>
        <w:t>2</w:t>
      </w:r>
      <w:r w:rsidR="000E1A0D">
        <w:rPr>
          <w:rFonts w:ascii="Arial" w:hAnsi="Arial" w:cs="Arial"/>
          <w:sz w:val="24"/>
          <w:szCs w:val="24"/>
        </w:rPr>
        <w:t>3 (</w:t>
      </w:r>
      <w:r w:rsidR="000E1A0D" w:rsidRPr="00446BF6">
        <w:rPr>
          <w:rFonts w:ascii="Arial" w:hAnsi="Arial" w:cs="Arial"/>
          <w:sz w:val="24"/>
          <w:szCs w:val="24"/>
        </w:rPr>
        <w:t>@PCP</w:t>
      </w:r>
      <w:r w:rsidR="000E1A0D">
        <w:rPr>
          <w:rFonts w:ascii="Arial" w:hAnsi="Arial" w:cs="Arial"/>
          <w:sz w:val="24"/>
          <w:szCs w:val="24"/>
        </w:rPr>
        <w:t xml:space="preserve"> </w:t>
      </w:r>
      <w:r w:rsidR="000E1A0D" w:rsidRPr="00B41769">
        <w:rPr>
          <w:rFonts w:ascii="Arial" w:hAnsi="Arial" w:cs="Arial"/>
          <w:sz w:val="24"/>
          <w:szCs w:val="24"/>
        </w:rPr>
        <w:t>24/00172778</w:t>
      </w:r>
      <w:r w:rsidR="00A525B2" w:rsidRPr="005506AB">
        <w:rPr>
          <w:rFonts w:ascii="Arial" w:hAnsi="Arial" w:cs="Arial"/>
          <w:sz w:val="24"/>
          <w:szCs w:val="24"/>
        </w:rPr>
        <w:t>), devidamente instruído com o Parecer prévio do Tribunal de Contas do Estado, pela aprovação, está apto para ser deliberado em Plenário.</w:t>
      </w:r>
      <w:r w:rsidR="0017401E" w:rsidRPr="005506AB">
        <w:rPr>
          <w:rFonts w:ascii="Arial" w:hAnsi="Arial" w:cs="Arial"/>
          <w:sz w:val="24"/>
          <w:szCs w:val="24"/>
        </w:rPr>
        <w:t xml:space="preserve"> E</w:t>
      </w:r>
      <w:r w:rsidR="005F70BE" w:rsidRPr="005506AB">
        <w:rPr>
          <w:rFonts w:ascii="Arial" w:hAnsi="Arial" w:cs="Arial"/>
          <w:sz w:val="24"/>
          <w:szCs w:val="24"/>
        </w:rPr>
        <w:t>sta Comissão</w:t>
      </w:r>
      <w:r w:rsidR="0017401E" w:rsidRPr="005506AB">
        <w:rPr>
          <w:rFonts w:ascii="Arial" w:hAnsi="Arial" w:cs="Arial"/>
          <w:sz w:val="24"/>
          <w:szCs w:val="24"/>
        </w:rPr>
        <w:t xml:space="preserve"> acompanha o Parecer prévio pela aprovação</w:t>
      </w:r>
      <w:r w:rsidR="006D25F1" w:rsidRPr="005506AB">
        <w:rPr>
          <w:rFonts w:ascii="Arial" w:hAnsi="Arial" w:cs="Arial"/>
          <w:sz w:val="24"/>
          <w:szCs w:val="24"/>
        </w:rPr>
        <w:t xml:space="preserve"> das contas</w:t>
      </w:r>
      <w:r w:rsidR="005F70BE" w:rsidRPr="005506AB">
        <w:rPr>
          <w:rFonts w:ascii="Arial" w:hAnsi="Arial" w:cs="Arial"/>
          <w:sz w:val="24"/>
          <w:szCs w:val="24"/>
        </w:rPr>
        <w:t>,</w:t>
      </w:r>
      <w:r w:rsidR="0017401E" w:rsidRPr="005506AB">
        <w:rPr>
          <w:rFonts w:ascii="Arial" w:hAnsi="Arial" w:cs="Arial"/>
          <w:sz w:val="24"/>
          <w:szCs w:val="24"/>
        </w:rPr>
        <w:t xml:space="preserve"> </w:t>
      </w:r>
      <w:r w:rsidR="008D1826" w:rsidRPr="005506AB">
        <w:rPr>
          <w:rFonts w:ascii="Arial" w:hAnsi="Arial" w:cs="Arial"/>
          <w:sz w:val="24"/>
          <w:szCs w:val="24"/>
        </w:rPr>
        <w:t>uma vez que</w:t>
      </w:r>
      <w:r w:rsidR="00C4653D" w:rsidRPr="005506AB">
        <w:rPr>
          <w:rFonts w:ascii="Arial" w:hAnsi="Arial" w:cs="Arial"/>
          <w:sz w:val="24"/>
          <w:szCs w:val="24"/>
        </w:rPr>
        <w:t xml:space="preserve"> </w:t>
      </w:r>
      <w:r w:rsidR="000131A5" w:rsidRPr="005506AB">
        <w:rPr>
          <w:rFonts w:ascii="Arial" w:hAnsi="Arial" w:cs="Arial"/>
          <w:sz w:val="24"/>
          <w:szCs w:val="24"/>
        </w:rPr>
        <w:t xml:space="preserve">não </w:t>
      </w:r>
      <w:r w:rsidR="00B1043C" w:rsidRPr="005506AB">
        <w:rPr>
          <w:rFonts w:ascii="Arial" w:hAnsi="Arial" w:cs="Arial"/>
          <w:sz w:val="24"/>
          <w:szCs w:val="24"/>
        </w:rPr>
        <w:t xml:space="preserve">se encontram </w:t>
      </w:r>
      <w:r w:rsidR="000131A5" w:rsidRPr="005506AB">
        <w:rPr>
          <w:rFonts w:ascii="Arial" w:hAnsi="Arial" w:cs="Arial"/>
          <w:sz w:val="24"/>
          <w:szCs w:val="24"/>
        </w:rPr>
        <w:t>apontamentos que ensejam orientação diversa</w:t>
      </w:r>
      <w:r w:rsidR="006B2398" w:rsidRPr="005506AB">
        <w:rPr>
          <w:rFonts w:ascii="Arial" w:hAnsi="Arial" w:cs="Arial"/>
          <w:sz w:val="24"/>
          <w:szCs w:val="24"/>
        </w:rPr>
        <w:t>, atentando, no entanto para que seja cientificado o Chefe do Poder Executivo quantos as recomendações emitidas no ite</w:t>
      </w:r>
      <w:r w:rsidR="005506AB" w:rsidRPr="005506AB">
        <w:rPr>
          <w:rFonts w:ascii="Arial" w:hAnsi="Arial" w:cs="Arial"/>
          <w:sz w:val="24"/>
          <w:szCs w:val="24"/>
        </w:rPr>
        <w:t>m</w:t>
      </w:r>
      <w:r w:rsidR="006B2398" w:rsidRPr="005506AB">
        <w:rPr>
          <w:rFonts w:ascii="Arial" w:hAnsi="Arial" w:cs="Arial"/>
          <w:sz w:val="24"/>
          <w:szCs w:val="24"/>
        </w:rPr>
        <w:t xml:space="preserve"> 2 do parecer Prévio</w:t>
      </w:r>
      <w:r w:rsidRPr="005506AB">
        <w:rPr>
          <w:rFonts w:ascii="Arial" w:hAnsi="Arial" w:cs="Arial"/>
          <w:sz w:val="24"/>
          <w:szCs w:val="24"/>
        </w:rPr>
        <w:t>;</w:t>
      </w:r>
      <w:r w:rsidR="00F63116">
        <w:rPr>
          <w:rFonts w:ascii="Arial" w:hAnsi="Arial" w:cs="Arial"/>
          <w:sz w:val="24"/>
          <w:szCs w:val="24"/>
        </w:rPr>
        <w:t xml:space="preserve"> </w:t>
      </w:r>
    </w:p>
    <w:p w14:paraId="3A1FD345" w14:textId="6BF09645" w:rsidR="00ED6468" w:rsidRDefault="00ED6468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88" w:type="dxa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F63116" w14:paraId="35DDA9AF" w14:textId="77777777" w:rsidTr="004230A9">
        <w:tc>
          <w:tcPr>
            <w:tcW w:w="9288" w:type="dxa"/>
          </w:tcPr>
          <w:p w14:paraId="2107A020" w14:textId="77777777" w:rsidR="000E1A0D" w:rsidRPr="000E1A0D" w:rsidRDefault="000E1A0D" w:rsidP="000E1A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1A0D">
              <w:rPr>
                <w:rFonts w:ascii="Arial" w:hAnsi="Arial" w:cs="Arial"/>
              </w:rPr>
              <w:t>2. recomenda à Prefeitura Municipal de Tunápolis, com fulcro no § 2º do art. 90 do Regimento Interno deste Tribunal (Resolução n. TC-06/2001), com o envolvimento e possível responsabilização do órgão de Controle Interno, que, doravante, adote providências, sob pena de, em caso de eventual descumprimento dos mandamentos legais pertinentes, ser aplicada a sanção administrativa prevista no art. 70 da Lei Complementar (estadual) n. 202/2000 (Lei Orgânica desta Corte de Contas), para:</w:t>
            </w:r>
          </w:p>
          <w:p w14:paraId="3C96A76B" w14:textId="77777777" w:rsidR="000E1A0D" w:rsidRPr="000E1A0D" w:rsidRDefault="000E1A0D" w:rsidP="000E1A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1A0D">
              <w:rPr>
                <w:rFonts w:ascii="Arial" w:hAnsi="Arial" w:cs="Arial"/>
              </w:rPr>
              <w:t>2.1. disponibilizar no Portal de Transparência do Município todos os pareceres, atas e documentos relativos à atuação dos conselhos municipais obrigatórios, garantindo a transparência ativa à sociedade;</w:t>
            </w:r>
          </w:p>
          <w:p w14:paraId="7AA18BC2" w14:textId="77777777" w:rsidR="000E1A0D" w:rsidRPr="000E1A0D" w:rsidRDefault="000E1A0D" w:rsidP="000E1A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1A0D">
              <w:rPr>
                <w:rFonts w:ascii="Arial" w:hAnsi="Arial" w:cs="Arial"/>
              </w:rPr>
              <w:t>2.2. formular os instrumentos de planejamento e orçamento públicos competentes (Plano Plurianual – PPA -, Lei de Diretrizes Orçamentárias – LDO - e Lei Orçamentária Anual – LOA) de maneira que seja assegurada a consignação de dotações orçamentárias compatíveis com a diretrizes, metas e estratégias do Plano Nacional de Educação (PNE) e com o Plano Municipal de Educação (PME), a fim de viabilizar e manter sua plena execução e cumprir o preconizado no artigo 10 da Lei n. 13.005/2014 (PNE), em especial o atendimento das Metas 1 e 2;</w:t>
            </w:r>
          </w:p>
          <w:p w14:paraId="227B9427" w14:textId="77777777" w:rsidR="000E1A0D" w:rsidRPr="000E1A0D" w:rsidRDefault="000E1A0D" w:rsidP="000E1A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1A0D">
              <w:rPr>
                <w:rFonts w:ascii="Arial" w:hAnsi="Arial" w:cs="Arial"/>
              </w:rPr>
              <w:t>2.3. reformular a legislação municipal de forma a contemplar as metas do plano nacional de saneamento estabelecidas na Lei n. 11.445/2007, com especial atenção para a universalização do atendimento da população com água potável e de noventa por cento da população com coleta e tratamento de esgoto até 31 de dezembro de 2033, adequando as condicionantes do atual contrato de concessão em vigor;</w:t>
            </w:r>
          </w:p>
          <w:p w14:paraId="79EF6D9D" w14:textId="77777777" w:rsidR="000E1A0D" w:rsidRPr="000E1A0D" w:rsidRDefault="000E1A0D" w:rsidP="000E1A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1A0D">
              <w:rPr>
                <w:rFonts w:ascii="Arial" w:hAnsi="Arial" w:cs="Arial"/>
              </w:rPr>
              <w:t>2.4. encaminhar os pareceres, atas e listas de presença da deliberação anual dos conselhos municipais obrigatórios, avaliando as políticas públicas desenvolvidas e a execução orçamentária vinculada a cada área de interesse, em cumprimento à Instrução Normativa n. TC20/2015;</w:t>
            </w:r>
          </w:p>
          <w:p w14:paraId="714D0AE1" w14:textId="77777777" w:rsidR="000E1A0D" w:rsidRPr="000E1A0D" w:rsidRDefault="000E1A0D" w:rsidP="000E1A0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E1A0D">
              <w:rPr>
                <w:rFonts w:ascii="Arial" w:hAnsi="Arial" w:cs="Arial"/>
              </w:rPr>
              <w:lastRenderedPageBreak/>
              <w:t>2.5. divulgar, após o trânsito em julgado, esta prestação de contas e o respectivo parecer prévio, inclusive em meios eletrônicos de acesso público, conforme estabelece o art. 48 da Lei Complementar n. 101/2000 – LRF.</w:t>
            </w:r>
          </w:p>
          <w:p w14:paraId="19CBADF7" w14:textId="33A75AD7" w:rsidR="00F63116" w:rsidRDefault="000E1A0D" w:rsidP="000E1A0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E1A0D">
              <w:rPr>
                <w:rFonts w:ascii="Arial" w:hAnsi="Arial" w:cs="Arial"/>
              </w:rPr>
              <w:t>3. Alerta a Prefeitura Municipal de Tunápolis que, com o envolvimento e responsabilização do órgão de controle interno, observe as recomendações, determinação, solicitações e ciência constantes dos itens I a III da Conclusão do Relatório DGO n. 213/2023, da Diretora de Contas de Governo.</w:t>
            </w:r>
          </w:p>
        </w:tc>
      </w:tr>
    </w:tbl>
    <w:p w14:paraId="07C1D4D3" w14:textId="77777777" w:rsidR="00F63116" w:rsidRPr="005506AB" w:rsidRDefault="00F63116" w:rsidP="00CE25B0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38B04EC" w14:textId="77777777" w:rsidR="00A525B2" w:rsidRPr="005506AB" w:rsidRDefault="00ED6468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E</w:t>
      </w:r>
      <w:r w:rsidR="00A525B2" w:rsidRPr="005506AB">
        <w:rPr>
          <w:rFonts w:ascii="Arial" w:hAnsi="Arial" w:cs="Arial"/>
          <w:sz w:val="24"/>
          <w:szCs w:val="24"/>
        </w:rPr>
        <w:t xml:space="preserve">m conformidade com o Regimento Interno, a Comissão </w:t>
      </w:r>
      <w:r w:rsidR="000131A5" w:rsidRPr="005506AB">
        <w:rPr>
          <w:rFonts w:ascii="Arial" w:hAnsi="Arial" w:cs="Arial"/>
          <w:sz w:val="24"/>
          <w:szCs w:val="24"/>
        </w:rPr>
        <w:t>proverá</w:t>
      </w:r>
      <w:r w:rsidR="00A525B2" w:rsidRPr="005506AB">
        <w:rPr>
          <w:rFonts w:ascii="Arial" w:hAnsi="Arial" w:cs="Arial"/>
          <w:sz w:val="24"/>
          <w:szCs w:val="24"/>
        </w:rPr>
        <w:t xml:space="preserve"> Projeto de Decreto Legislativo pela aprovação das respectivas contas.</w:t>
      </w:r>
    </w:p>
    <w:p w14:paraId="3748D1F0" w14:textId="77777777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</w:p>
    <w:p w14:paraId="7FAAB5EE" w14:textId="533B375E" w:rsidR="00A525B2" w:rsidRPr="005506AB" w:rsidRDefault="00A525B2" w:rsidP="005506AB">
      <w:pPr>
        <w:spacing w:line="276" w:lineRule="auto"/>
        <w:ind w:firstLine="1418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Sala das Comissões Permanentes da Câmara Municipal de Vereadores de Tunápolis, em </w:t>
      </w:r>
      <w:r w:rsidR="009A5393">
        <w:rPr>
          <w:rFonts w:ascii="Arial" w:hAnsi="Arial" w:cs="Arial"/>
          <w:sz w:val="24"/>
          <w:szCs w:val="24"/>
        </w:rPr>
        <w:t>30 de outubro de 2024</w:t>
      </w:r>
      <w:r w:rsidR="004230A9">
        <w:rPr>
          <w:rFonts w:ascii="Arial" w:hAnsi="Arial" w:cs="Arial"/>
          <w:sz w:val="24"/>
          <w:szCs w:val="24"/>
        </w:rPr>
        <w:t>.</w:t>
      </w:r>
    </w:p>
    <w:p w14:paraId="5312722E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05B33F55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48915394" w14:textId="77777777" w:rsidR="00A525B2" w:rsidRPr="005506AB" w:rsidRDefault="00A525B2" w:rsidP="005506AB">
      <w:pPr>
        <w:spacing w:line="276" w:lineRule="auto"/>
        <w:ind w:firstLine="1418"/>
        <w:jc w:val="left"/>
        <w:rPr>
          <w:rFonts w:ascii="Arial" w:hAnsi="Arial" w:cs="Arial"/>
          <w:sz w:val="24"/>
          <w:szCs w:val="24"/>
        </w:rPr>
      </w:pPr>
    </w:p>
    <w:p w14:paraId="5C6F64A0" w14:textId="77777777" w:rsidR="004230A9" w:rsidRDefault="004230A9" w:rsidP="005506A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403B59" w14:textId="52E95504" w:rsidR="00A525B2" w:rsidRPr="004230A9" w:rsidRDefault="004230A9" w:rsidP="005506A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ALOÍSIO JOSÉ LEHMEN</w:t>
      </w:r>
    </w:p>
    <w:p w14:paraId="5D316BFE" w14:textId="3DAB59E5" w:rsidR="00A525B2" w:rsidRDefault="00A525B2" w:rsidP="005506AB">
      <w:pPr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Relator</w:t>
      </w:r>
    </w:p>
    <w:p w14:paraId="71A46B33" w14:textId="4BB16888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4AB026D" w14:textId="2F88B716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83AB090" w14:textId="7E946C62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70E36AE" w14:textId="7754B741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807372C" w14:textId="17DC3E85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77573C3F" w14:textId="68AF251C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222F967D" w14:textId="16AD01CB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062A8E0F" w14:textId="2998899A" w:rsidR="00D970F7" w:rsidRDefault="00D970F7" w:rsidP="005506AB">
      <w:pPr>
        <w:jc w:val="center"/>
        <w:rPr>
          <w:rFonts w:ascii="Arial" w:hAnsi="Arial" w:cs="Arial"/>
          <w:sz w:val="24"/>
          <w:szCs w:val="24"/>
        </w:rPr>
      </w:pPr>
    </w:p>
    <w:p w14:paraId="5D6446EC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3DF9B35F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05D4B51E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24A90FB9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46F81CD8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7A0AFF79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43D5645A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45EFFA47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0A5B49FA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6A641C32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4ED4C8DC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7B3ACEC5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24ADFC8F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4EC77576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66E679D8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6B8D10F2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4EDD9FE5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26D21C43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52570F1F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25B3CCA1" w14:textId="77777777" w:rsidR="004230A9" w:rsidRDefault="004230A9" w:rsidP="005506AB">
      <w:pPr>
        <w:jc w:val="center"/>
        <w:rPr>
          <w:rFonts w:ascii="Arial" w:hAnsi="Arial" w:cs="Arial"/>
          <w:sz w:val="24"/>
          <w:szCs w:val="24"/>
        </w:rPr>
      </w:pPr>
    </w:p>
    <w:p w14:paraId="2D013CAE" w14:textId="77777777" w:rsidR="004230A9" w:rsidRDefault="004230A9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18E0F8C" w14:textId="77777777" w:rsidR="009A5393" w:rsidRDefault="009A5393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9435C99" w14:textId="11F71799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lastRenderedPageBreak/>
        <w:t>CÂMARA MUNICIPAL DE VEREADORES</w:t>
      </w:r>
    </w:p>
    <w:p w14:paraId="48441FA4" w14:textId="77777777" w:rsidR="00A525B2" w:rsidRPr="005506AB" w:rsidRDefault="00A525B2" w:rsidP="005506A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TUNÁPOLIS – SC</w:t>
      </w:r>
    </w:p>
    <w:p w14:paraId="787EAA0C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2E4E7589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FFE742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>COMISSÃO DE FINANÇAS, ORÇAMENTO E CONTAS DO MUNICÍPIO.</w:t>
      </w:r>
    </w:p>
    <w:p w14:paraId="7E578452" w14:textId="77777777" w:rsidR="00A525B2" w:rsidRPr="005506AB" w:rsidRDefault="00A525B2" w:rsidP="00DC5F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E7C4A9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5F54C" w14:textId="77777777" w:rsidR="00A525B2" w:rsidRPr="005506AB" w:rsidRDefault="00A525B2" w:rsidP="005506AB">
      <w:pPr>
        <w:widowControl w:val="0"/>
        <w:spacing w:line="276" w:lineRule="auto"/>
        <w:ind w:firstLine="1276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14:paraId="76166815" w14:textId="22CDC691" w:rsidR="007C164B" w:rsidRPr="005506AB" w:rsidRDefault="0017401E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- </w:t>
      </w:r>
      <w:r w:rsidR="007C164B" w:rsidRPr="005506AB">
        <w:rPr>
          <w:rFonts w:ascii="Arial" w:hAnsi="Arial" w:cs="Arial"/>
          <w:sz w:val="24"/>
          <w:szCs w:val="24"/>
        </w:rPr>
        <w:t>Processo de Prestação de Contas do Prefeito referente ao exercício 20</w:t>
      </w:r>
      <w:r w:rsidR="004230A9">
        <w:rPr>
          <w:rFonts w:ascii="Arial" w:hAnsi="Arial" w:cs="Arial"/>
          <w:sz w:val="24"/>
          <w:szCs w:val="24"/>
        </w:rPr>
        <w:t>2</w:t>
      </w:r>
      <w:r w:rsidR="009A5393">
        <w:rPr>
          <w:rFonts w:ascii="Arial" w:hAnsi="Arial" w:cs="Arial"/>
          <w:sz w:val="24"/>
          <w:szCs w:val="24"/>
        </w:rPr>
        <w:t>3 (</w:t>
      </w:r>
      <w:r w:rsidR="009A5393" w:rsidRPr="00446BF6">
        <w:rPr>
          <w:rFonts w:ascii="Arial" w:hAnsi="Arial" w:cs="Arial"/>
          <w:sz w:val="24"/>
          <w:szCs w:val="24"/>
        </w:rPr>
        <w:t>@PCP</w:t>
      </w:r>
      <w:r w:rsidR="009A5393">
        <w:rPr>
          <w:rFonts w:ascii="Arial" w:hAnsi="Arial" w:cs="Arial"/>
          <w:sz w:val="24"/>
          <w:szCs w:val="24"/>
        </w:rPr>
        <w:t xml:space="preserve"> </w:t>
      </w:r>
      <w:r w:rsidR="009A5393" w:rsidRPr="00B41769">
        <w:rPr>
          <w:rFonts w:ascii="Arial" w:hAnsi="Arial" w:cs="Arial"/>
          <w:sz w:val="24"/>
          <w:szCs w:val="24"/>
        </w:rPr>
        <w:t>24/00172778</w:t>
      </w:r>
      <w:r w:rsidR="00D970F7">
        <w:rPr>
          <w:rFonts w:ascii="Arial" w:hAnsi="Arial" w:cs="Arial"/>
          <w:sz w:val="24"/>
          <w:szCs w:val="24"/>
        </w:rPr>
        <w:t>)</w:t>
      </w:r>
      <w:r w:rsidR="007C164B" w:rsidRPr="005506AB">
        <w:rPr>
          <w:rFonts w:ascii="Arial" w:hAnsi="Arial" w:cs="Arial"/>
          <w:sz w:val="24"/>
          <w:szCs w:val="24"/>
        </w:rPr>
        <w:t xml:space="preserve"> da Prefeitura Municipal de Tunápolis, com o Parecer Prévio do Tribunal de Contas do Estado.</w:t>
      </w:r>
    </w:p>
    <w:p w14:paraId="73E01CE1" w14:textId="54A3F4F3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77C0CD63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A9438B0" w14:textId="77777777" w:rsidR="0017401E" w:rsidRPr="005506AB" w:rsidRDefault="0017401E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3085"/>
        <w:gridCol w:w="3402"/>
        <w:gridCol w:w="2693"/>
      </w:tblGrid>
      <w:tr w:rsidR="00A525B2" w:rsidRPr="005506AB" w14:paraId="60F32B4F" w14:textId="77777777" w:rsidTr="00A525B2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F9D2A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D3D50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PELA REJEIÇÃO/APROVAÇÃO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5CC81" w14:textId="77777777" w:rsidR="00A525B2" w:rsidRPr="005506AB" w:rsidRDefault="00A525B2" w:rsidP="005506A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A525B2" w:rsidRPr="005506AB" w14:paraId="5A841EB7" w14:textId="77777777" w:rsidTr="00A525B2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D151A2" w14:textId="3837B5AF" w:rsidR="00A525B2" w:rsidRPr="005506AB" w:rsidRDefault="00D970F7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ALOÍSIO JOSÉ LEHMEN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5AF2F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E775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6F2AB975" w14:textId="77777777" w:rsidTr="00A525B2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9B267A" w14:textId="1B2DA85E" w:rsidR="00A525B2" w:rsidRPr="005506AB" w:rsidRDefault="00310BC3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06AB">
              <w:rPr>
                <w:rFonts w:ascii="Arial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FE18C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C9FCA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25B2" w:rsidRPr="005506AB" w14:paraId="25BF1948" w14:textId="77777777" w:rsidTr="00A525B2">
        <w:trPr>
          <w:trHeight w:val="3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9BCBB" w14:textId="038E329D" w:rsidR="00A525B2" w:rsidRPr="005506AB" w:rsidRDefault="00D970F7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NEIDE M. S. BAMBERG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A3C41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968027" w14:textId="77777777" w:rsidR="00A525B2" w:rsidRPr="005506AB" w:rsidRDefault="00A525B2" w:rsidP="005506AB">
            <w:pPr>
              <w:spacing w:line="276" w:lineRule="auto"/>
              <w:ind w:left="1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9B314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5397CA86" w14:textId="77777777" w:rsidR="00A525B2" w:rsidRPr="005506AB" w:rsidRDefault="00A525B2" w:rsidP="005506AB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14162BB" w14:textId="77777777" w:rsidR="00A525B2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</w:p>
    <w:p w14:paraId="44755090" w14:textId="7531052C" w:rsidR="002F0377" w:rsidRPr="005506AB" w:rsidRDefault="00A525B2" w:rsidP="005506AB">
      <w:pPr>
        <w:spacing w:line="276" w:lineRule="auto"/>
        <w:rPr>
          <w:rFonts w:ascii="Arial" w:hAnsi="Arial" w:cs="Arial"/>
          <w:sz w:val="24"/>
          <w:szCs w:val="24"/>
        </w:rPr>
      </w:pPr>
      <w:r w:rsidRPr="005506AB">
        <w:rPr>
          <w:rFonts w:ascii="Arial" w:hAnsi="Arial" w:cs="Arial"/>
          <w:sz w:val="24"/>
          <w:szCs w:val="24"/>
        </w:rPr>
        <w:t xml:space="preserve">Reunião Ordinária realizada </w:t>
      </w:r>
      <w:r w:rsidR="00480590">
        <w:rPr>
          <w:rFonts w:ascii="Arial" w:hAnsi="Arial" w:cs="Arial"/>
          <w:sz w:val="24"/>
          <w:szCs w:val="24"/>
        </w:rPr>
        <w:t xml:space="preserve">em </w:t>
      </w:r>
      <w:r w:rsidR="009A5393">
        <w:rPr>
          <w:rFonts w:ascii="Arial" w:hAnsi="Arial" w:cs="Arial"/>
          <w:sz w:val="24"/>
          <w:szCs w:val="24"/>
        </w:rPr>
        <w:t>30 de outubro de 2024</w:t>
      </w:r>
      <w:r w:rsidR="00480590">
        <w:rPr>
          <w:rFonts w:ascii="Arial" w:hAnsi="Arial" w:cs="Arial"/>
          <w:sz w:val="24"/>
          <w:szCs w:val="24"/>
        </w:rPr>
        <w:t>.</w:t>
      </w:r>
    </w:p>
    <w:sectPr w:rsidR="002F0377" w:rsidRPr="005506AB" w:rsidSect="00473FB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B2"/>
    <w:rsid w:val="000131A5"/>
    <w:rsid w:val="000E1A0D"/>
    <w:rsid w:val="000E59E4"/>
    <w:rsid w:val="0011006E"/>
    <w:rsid w:val="0017401E"/>
    <w:rsid w:val="001C60D3"/>
    <w:rsid w:val="002F0377"/>
    <w:rsid w:val="00310BC3"/>
    <w:rsid w:val="004230A9"/>
    <w:rsid w:val="00473FB2"/>
    <w:rsid w:val="00480590"/>
    <w:rsid w:val="0053119A"/>
    <w:rsid w:val="00546431"/>
    <w:rsid w:val="005506AB"/>
    <w:rsid w:val="005F70BE"/>
    <w:rsid w:val="006132FA"/>
    <w:rsid w:val="006616F7"/>
    <w:rsid w:val="006B2398"/>
    <w:rsid w:val="006D25F1"/>
    <w:rsid w:val="006E69AC"/>
    <w:rsid w:val="00746EBF"/>
    <w:rsid w:val="007B79F5"/>
    <w:rsid w:val="007C1307"/>
    <w:rsid w:val="007C164B"/>
    <w:rsid w:val="008733AE"/>
    <w:rsid w:val="0087598B"/>
    <w:rsid w:val="0089746E"/>
    <w:rsid w:val="008D1826"/>
    <w:rsid w:val="00996890"/>
    <w:rsid w:val="009A5393"/>
    <w:rsid w:val="00A525B2"/>
    <w:rsid w:val="00B1043C"/>
    <w:rsid w:val="00B41916"/>
    <w:rsid w:val="00BB1B5A"/>
    <w:rsid w:val="00C1644A"/>
    <w:rsid w:val="00C4653D"/>
    <w:rsid w:val="00C51B7E"/>
    <w:rsid w:val="00CC79C0"/>
    <w:rsid w:val="00CE25B0"/>
    <w:rsid w:val="00D01E77"/>
    <w:rsid w:val="00D95F96"/>
    <w:rsid w:val="00D970F7"/>
    <w:rsid w:val="00DC5FCB"/>
    <w:rsid w:val="00E17261"/>
    <w:rsid w:val="00ED6468"/>
    <w:rsid w:val="00F6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E2F0"/>
  <w15:chartTrackingRefBased/>
  <w15:docId w15:val="{A9BD85B1-E49E-43FD-BC0C-2A27BEC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B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5B2"/>
    <w:pPr>
      <w:spacing w:after="0" w:line="240" w:lineRule="auto"/>
      <w:jc w:val="both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ED646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EC587-E1E5-49BA-B18E-BC03DF44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2022-12-05T18:38:00Z</cp:lastPrinted>
  <dcterms:created xsi:type="dcterms:W3CDTF">2024-10-29T12:39:00Z</dcterms:created>
  <dcterms:modified xsi:type="dcterms:W3CDTF">2024-10-29T12:39:00Z</dcterms:modified>
</cp:coreProperties>
</file>