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9B77" w14:textId="77777777" w:rsidR="00DC5FCB" w:rsidRDefault="00DC5FCB" w:rsidP="00DC5FC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4BDDF6A" w14:textId="46E84F57" w:rsidR="00A525B2" w:rsidRPr="005506AB" w:rsidRDefault="00A525B2" w:rsidP="00DC5FC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CÂMARA MUNICIPAL DE VEREADORES</w:t>
      </w:r>
    </w:p>
    <w:p w14:paraId="1330C2A6" w14:textId="77777777" w:rsidR="00A525B2" w:rsidRPr="005506AB" w:rsidRDefault="00A525B2" w:rsidP="00DC5FC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TUNÁPOLIS – SC</w:t>
      </w:r>
    </w:p>
    <w:p w14:paraId="50A80550" w14:textId="77777777" w:rsidR="00A525B2" w:rsidRPr="005506AB" w:rsidRDefault="00A525B2" w:rsidP="00DC5FC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COMISSÃO DE FINANÇAS, ORÇAMENTO E CONTAS DO MUNICÍPIO.</w:t>
      </w:r>
    </w:p>
    <w:p w14:paraId="58E0B1F1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7B625997" w14:textId="7F50A881" w:rsidR="00A525B2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- Processo de Prestação de Contas do Prefeito referente ao exercício 20</w:t>
      </w:r>
      <w:r w:rsidR="0011006E">
        <w:rPr>
          <w:rFonts w:ascii="Arial" w:hAnsi="Arial" w:cs="Arial"/>
          <w:sz w:val="24"/>
          <w:szCs w:val="24"/>
        </w:rPr>
        <w:t>2</w:t>
      </w:r>
      <w:r w:rsidR="00CC79C0">
        <w:rPr>
          <w:rFonts w:ascii="Arial" w:hAnsi="Arial" w:cs="Arial"/>
          <w:sz w:val="24"/>
          <w:szCs w:val="24"/>
        </w:rPr>
        <w:t>1</w:t>
      </w:r>
      <w:r w:rsidR="007C164B" w:rsidRPr="005506AB">
        <w:rPr>
          <w:rFonts w:ascii="Arial" w:hAnsi="Arial" w:cs="Arial"/>
          <w:sz w:val="24"/>
          <w:szCs w:val="24"/>
        </w:rPr>
        <w:t xml:space="preserve"> </w:t>
      </w:r>
      <w:r w:rsidR="007C1307"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@PCP </w:t>
      </w:r>
      <w:r w:rsidR="007C1307">
        <w:rPr>
          <w:rFonts w:ascii="Arial" w:hAnsi="Arial" w:cs="Arial"/>
          <w:color w:val="000000"/>
          <w:sz w:val="24"/>
          <w:szCs w:val="24"/>
          <w:lang w:eastAsia="pt-BR"/>
        </w:rPr>
        <w:t>22/00090905</w:t>
      </w:r>
      <w:r w:rsidRPr="005506AB">
        <w:rPr>
          <w:rFonts w:ascii="Arial" w:hAnsi="Arial" w:cs="Arial"/>
          <w:sz w:val="24"/>
          <w:szCs w:val="24"/>
        </w:rPr>
        <w:t>), da Prefeitura Municipal de Tunápolis, com o Parecer Prévio do Tribunal de Contas do Estado.</w:t>
      </w:r>
    </w:p>
    <w:p w14:paraId="0713F649" w14:textId="77777777" w:rsidR="00A525B2" w:rsidRPr="005506AB" w:rsidRDefault="00A525B2" w:rsidP="005506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3DC0EE3" w14:textId="77777777" w:rsidR="00A525B2" w:rsidRPr="005506AB" w:rsidRDefault="00A525B2" w:rsidP="005506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PARECER</w:t>
      </w:r>
    </w:p>
    <w:p w14:paraId="4C33CF10" w14:textId="77777777" w:rsidR="00A525B2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</w:p>
    <w:p w14:paraId="7A9B8648" w14:textId="77777777" w:rsidR="00A525B2" w:rsidRPr="005506AB" w:rsidRDefault="00A525B2" w:rsidP="005506A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 xml:space="preserve">Cumprindo determinação da Comissão de Finanças, Orçamento e Contas do Município, como relator, exaro o seguinte Parecer sobre a matéria: </w:t>
      </w:r>
    </w:p>
    <w:p w14:paraId="3B7B6075" w14:textId="77777777" w:rsidR="00A525B2" w:rsidRPr="005506AB" w:rsidRDefault="00A525B2" w:rsidP="005506A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</w:p>
    <w:p w14:paraId="7C8B97B6" w14:textId="06DDAC2E" w:rsidR="00BB1B5A" w:rsidRDefault="00ED6468" w:rsidP="00F63116">
      <w:pPr>
        <w:spacing w:line="276" w:lineRule="auto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ab/>
      </w:r>
      <w:r w:rsidR="00A525B2" w:rsidRPr="005506AB">
        <w:rPr>
          <w:rFonts w:ascii="Arial" w:hAnsi="Arial" w:cs="Arial"/>
          <w:sz w:val="24"/>
          <w:szCs w:val="24"/>
        </w:rPr>
        <w:t>Declaro que o Processo de Prestação de Contas do Prefeito referente ao exercício 20</w:t>
      </w:r>
      <w:r w:rsidR="0011006E">
        <w:rPr>
          <w:rFonts w:ascii="Arial" w:hAnsi="Arial" w:cs="Arial"/>
          <w:sz w:val="24"/>
          <w:szCs w:val="24"/>
        </w:rPr>
        <w:t>2</w:t>
      </w:r>
      <w:r w:rsidR="00CC79C0">
        <w:rPr>
          <w:rFonts w:ascii="Arial" w:hAnsi="Arial" w:cs="Arial"/>
          <w:sz w:val="24"/>
          <w:szCs w:val="24"/>
        </w:rPr>
        <w:t>1</w:t>
      </w:r>
      <w:r w:rsidR="0011006E">
        <w:rPr>
          <w:rFonts w:ascii="Arial" w:hAnsi="Arial" w:cs="Arial"/>
          <w:sz w:val="24"/>
          <w:szCs w:val="24"/>
        </w:rPr>
        <w:t xml:space="preserve"> </w:t>
      </w:r>
      <w:r w:rsidR="0087598B">
        <w:rPr>
          <w:rFonts w:ascii="Arial" w:hAnsi="Arial" w:cs="Arial"/>
          <w:sz w:val="24"/>
          <w:szCs w:val="24"/>
        </w:rPr>
        <w:t>(</w:t>
      </w:r>
      <w:r w:rsidR="00CC79C0"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@PCP </w:t>
      </w:r>
      <w:r w:rsidR="00CC79C0">
        <w:rPr>
          <w:rFonts w:ascii="Arial" w:hAnsi="Arial" w:cs="Arial"/>
          <w:color w:val="000000"/>
          <w:sz w:val="24"/>
          <w:szCs w:val="24"/>
          <w:lang w:eastAsia="pt-BR"/>
        </w:rPr>
        <w:t>22/00090905</w:t>
      </w:r>
      <w:r w:rsidR="00A525B2" w:rsidRPr="005506AB">
        <w:rPr>
          <w:rFonts w:ascii="Arial" w:hAnsi="Arial" w:cs="Arial"/>
          <w:sz w:val="24"/>
          <w:szCs w:val="24"/>
        </w:rPr>
        <w:t>), devidamente instruído com o Parecer prévio do Tribunal de Contas do Estado, pela aprovação, está apto para ser deliberado em Plenário.</w:t>
      </w:r>
      <w:r w:rsidR="0017401E" w:rsidRPr="005506AB">
        <w:rPr>
          <w:rFonts w:ascii="Arial" w:hAnsi="Arial" w:cs="Arial"/>
          <w:sz w:val="24"/>
          <w:szCs w:val="24"/>
        </w:rPr>
        <w:t xml:space="preserve"> E</w:t>
      </w:r>
      <w:r w:rsidR="005F70BE" w:rsidRPr="005506AB">
        <w:rPr>
          <w:rFonts w:ascii="Arial" w:hAnsi="Arial" w:cs="Arial"/>
          <w:sz w:val="24"/>
          <w:szCs w:val="24"/>
        </w:rPr>
        <w:t>sta Comissão</w:t>
      </w:r>
      <w:r w:rsidR="0017401E" w:rsidRPr="005506AB">
        <w:rPr>
          <w:rFonts w:ascii="Arial" w:hAnsi="Arial" w:cs="Arial"/>
          <w:sz w:val="24"/>
          <w:szCs w:val="24"/>
        </w:rPr>
        <w:t xml:space="preserve"> acompanha o Parecer prévio pela aprovação</w:t>
      </w:r>
      <w:r w:rsidR="006D25F1" w:rsidRPr="005506AB">
        <w:rPr>
          <w:rFonts w:ascii="Arial" w:hAnsi="Arial" w:cs="Arial"/>
          <w:sz w:val="24"/>
          <w:szCs w:val="24"/>
        </w:rPr>
        <w:t xml:space="preserve"> das contas</w:t>
      </w:r>
      <w:r w:rsidR="005F70BE" w:rsidRPr="005506AB">
        <w:rPr>
          <w:rFonts w:ascii="Arial" w:hAnsi="Arial" w:cs="Arial"/>
          <w:sz w:val="24"/>
          <w:szCs w:val="24"/>
        </w:rPr>
        <w:t>,</w:t>
      </w:r>
      <w:r w:rsidR="0017401E" w:rsidRPr="005506AB">
        <w:rPr>
          <w:rFonts w:ascii="Arial" w:hAnsi="Arial" w:cs="Arial"/>
          <w:sz w:val="24"/>
          <w:szCs w:val="24"/>
        </w:rPr>
        <w:t xml:space="preserve"> </w:t>
      </w:r>
      <w:r w:rsidR="008D1826" w:rsidRPr="005506AB">
        <w:rPr>
          <w:rFonts w:ascii="Arial" w:hAnsi="Arial" w:cs="Arial"/>
          <w:sz w:val="24"/>
          <w:szCs w:val="24"/>
        </w:rPr>
        <w:t>uma vez que</w:t>
      </w:r>
      <w:r w:rsidR="00C4653D" w:rsidRPr="005506AB">
        <w:rPr>
          <w:rFonts w:ascii="Arial" w:hAnsi="Arial" w:cs="Arial"/>
          <w:sz w:val="24"/>
          <w:szCs w:val="24"/>
        </w:rPr>
        <w:t xml:space="preserve"> </w:t>
      </w:r>
      <w:r w:rsidR="000131A5" w:rsidRPr="005506AB">
        <w:rPr>
          <w:rFonts w:ascii="Arial" w:hAnsi="Arial" w:cs="Arial"/>
          <w:sz w:val="24"/>
          <w:szCs w:val="24"/>
        </w:rPr>
        <w:t xml:space="preserve">não </w:t>
      </w:r>
      <w:r w:rsidR="00B1043C" w:rsidRPr="005506AB">
        <w:rPr>
          <w:rFonts w:ascii="Arial" w:hAnsi="Arial" w:cs="Arial"/>
          <w:sz w:val="24"/>
          <w:szCs w:val="24"/>
        </w:rPr>
        <w:t xml:space="preserve">se encontram </w:t>
      </w:r>
      <w:r w:rsidR="000131A5" w:rsidRPr="005506AB">
        <w:rPr>
          <w:rFonts w:ascii="Arial" w:hAnsi="Arial" w:cs="Arial"/>
          <w:sz w:val="24"/>
          <w:szCs w:val="24"/>
        </w:rPr>
        <w:t>apontamentos que ensejam orientação diversa</w:t>
      </w:r>
      <w:r w:rsidR="006B2398" w:rsidRPr="005506AB">
        <w:rPr>
          <w:rFonts w:ascii="Arial" w:hAnsi="Arial" w:cs="Arial"/>
          <w:sz w:val="24"/>
          <w:szCs w:val="24"/>
        </w:rPr>
        <w:t>, atentando, no entanto para que seja cientificado o Chefe do Poder Executivo quantos as recomendações emitidas no ite</w:t>
      </w:r>
      <w:r w:rsidR="005506AB" w:rsidRPr="005506AB">
        <w:rPr>
          <w:rFonts w:ascii="Arial" w:hAnsi="Arial" w:cs="Arial"/>
          <w:sz w:val="24"/>
          <w:szCs w:val="24"/>
        </w:rPr>
        <w:t>m</w:t>
      </w:r>
      <w:r w:rsidR="006B2398" w:rsidRPr="005506AB">
        <w:rPr>
          <w:rFonts w:ascii="Arial" w:hAnsi="Arial" w:cs="Arial"/>
          <w:sz w:val="24"/>
          <w:szCs w:val="24"/>
        </w:rPr>
        <w:t xml:space="preserve"> 2 do parecer Prévio</w:t>
      </w:r>
      <w:r w:rsidRPr="005506AB">
        <w:rPr>
          <w:rFonts w:ascii="Arial" w:hAnsi="Arial" w:cs="Arial"/>
          <w:sz w:val="24"/>
          <w:szCs w:val="24"/>
        </w:rPr>
        <w:t>;</w:t>
      </w:r>
      <w:r w:rsidR="00F63116">
        <w:rPr>
          <w:rFonts w:ascii="Arial" w:hAnsi="Arial" w:cs="Arial"/>
          <w:sz w:val="24"/>
          <w:szCs w:val="24"/>
        </w:rPr>
        <w:t xml:space="preserve"> </w:t>
      </w:r>
    </w:p>
    <w:p w14:paraId="3A1FD345" w14:textId="6BF09645" w:rsidR="00ED6468" w:rsidRDefault="00ED6468" w:rsidP="005506A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627" w:type="dxa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F63116" w14:paraId="35DDA9AF" w14:textId="77777777" w:rsidTr="00CE25B0">
        <w:tc>
          <w:tcPr>
            <w:tcW w:w="10627" w:type="dxa"/>
          </w:tcPr>
          <w:p w14:paraId="029FCEB7" w14:textId="23497DED" w:rsidR="00CE25B0" w:rsidRPr="00CE25B0" w:rsidRDefault="00CE25B0" w:rsidP="00CE25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2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Pr="00CE25B0">
              <w:rPr>
                <w:rFonts w:ascii="Arial" w:hAnsi="Arial" w:cs="Arial"/>
                <w:sz w:val="20"/>
                <w:szCs w:val="20"/>
              </w:rPr>
              <w:t>Recomenda à Prefeitura Municipal de Tunápolis, com fulcro no §2º do art. 90 do Regimento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5B0">
              <w:rPr>
                <w:rFonts w:ascii="Arial" w:hAnsi="Arial" w:cs="Arial"/>
                <w:sz w:val="20"/>
                <w:szCs w:val="20"/>
              </w:rPr>
              <w:t>Interno do Tribunal de Contas de Santa Catarina (Resolução n. TC-06/2001), com o envolvimento 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5B0">
              <w:rPr>
                <w:rFonts w:ascii="Arial" w:hAnsi="Arial" w:cs="Arial"/>
                <w:sz w:val="20"/>
                <w:szCs w:val="20"/>
              </w:rPr>
              <w:t>possível responsabilização do Órgão de Controle Interno, que, doravante, adote as providências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5B0">
              <w:rPr>
                <w:rFonts w:ascii="Arial" w:hAnsi="Arial" w:cs="Arial"/>
                <w:sz w:val="20"/>
                <w:szCs w:val="20"/>
              </w:rPr>
              <w:t>abaixo especificadas, sob pena de, em caso de eventual descumprimento dos mandamentos legais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5B0">
              <w:rPr>
                <w:rFonts w:ascii="Arial" w:hAnsi="Arial" w:cs="Arial"/>
                <w:sz w:val="20"/>
                <w:szCs w:val="20"/>
              </w:rPr>
              <w:t>pertinentes, ser aplicada a sanção administrativa prevista no art. 70 da Lei Complementar (estadual)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5B0">
              <w:rPr>
                <w:rFonts w:ascii="Arial" w:hAnsi="Arial" w:cs="Arial"/>
                <w:sz w:val="20"/>
                <w:szCs w:val="20"/>
              </w:rPr>
              <w:t>n. 202/2000 (Lei Orgânica deste Tribunal de Contas):</w:t>
            </w:r>
          </w:p>
          <w:p w14:paraId="29F9092A" w14:textId="44E33EC8" w:rsidR="00CE25B0" w:rsidRPr="00CE25B0" w:rsidRDefault="00CE25B0" w:rsidP="00CE25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2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2.1. </w:t>
            </w:r>
            <w:r w:rsidRPr="00CE25B0">
              <w:rPr>
                <w:rFonts w:ascii="Arial" w:hAnsi="Arial" w:cs="Arial"/>
                <w:sz w:val="20"/>
                <w:szCs w:val="20"/>
              </w:rPr>
              <w:t>Adote providências com vistas a prevenir a ocorrência de nova irregularidade da mesma</w:t>
            </w:r>
            <w:r w:rsidR="009968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5B0">
              <w:rPr>
                <w:rFonts w:ascii="Arial" w:hAnsi="Arial" w:cs="Arial"/>
                <w:sz w:val="20"/>
                <w:szCs w:val="20"/>
              </w:rPr>
              <w:t xml:space="preserve">natureza da registrada no item 10.2.1 do </w:t>
            </w:r>
            <w:r w:rsidRPr="00CE25B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Relatório DGO n. 175/2022</w:t>
            </w:r>
            <w:r w:rsidRPr="00CE25B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9E16413" w14:textId="76005C31" w:rsidR="00CE25B0" w:rsidRPr="00CE25B0" w:rsidRDefault="00CE25B0" w:rsidP="00CE25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2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2.2. </w:t>
            </w:r>
            <w:r w:rsidRPr="00CE25B0">
              <w:rPr>
                <w:rFonts w:ascii="Arial" w:hAnsi="Arial" w:cs="Arial"/>
                <w:sz w:val="20"/>
                <w:szCs w:val="20"/>
              </w:rPr>
              <w:t xml:space="preserve">Formule os instrumentos de </w:t>
            </w:r>
            <w:r w:rsidR="0087598B" w:rsidRPr="00CE25B0">
              <w:rPr>
                <w:rFonts w:ascii="Arial" w:hAnsi="Arial" w:cs="Arial"/>
                <w:sz w:val="20"/>
                <w:szCs w:val="20"/>
              </w:rPr>
              <w:t>planejamento e orçamento público</w:t>
            </w:r>
            <w:r w:rsidRPr="00CE25B0">
              <w:rPr>
                <w:rFonts w:ascii="Arial" w:hAnsi="Arial" w:cs="Arial"/>
                <w:sz w:val="20"/>
                <w:szCs w:val="20"/>
              </w:rPr>
              <w:t xml:space="preserve"> competentes (Plano</w:t>
            </w:r>
            <w:r w:rsidR="009968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5B0">
              <w:rPr>
                <w:rFonts w:ascii="Arial" w:hAnsi="Arial" w:cs="Arial"/>
                <w:sz w:val="20"/>
                <w:szCs w:val="20"/>
              </w:rPr>
              <w:t>Plurianual – PPA, Lei de Diretrizes Orçamentárias – LDO e Lei Orçamentária Anual – LOA) de maneira</w:t>
            </w:r>
            <w:r w:rsidR="008759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5B0">
              <w:rPr>
                <w:rFonts w:ascii="Arial" w:hAnsi="Arial" w:cs="Arial"/>
                <w:sz w:val="20"/>
                <w:szCs w:val="20"/>
              </w:rPr>
              <w:t>que seja assegurada a consignação de dotações orçamentárias compatíveis com a diretrizes, metas e</w:t>
            </w:r>
            <w:r w:rsidR="008759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5B0">
              <w:rPr>
                <w:rFonts w:ascii="Arial" w:hAnsi="Arial" w:cs="Arial"/>
                <w:sz w:val="20"/>
                <w:szCs w:val="20"/>
              </w:rPr>
              <w:t>estratégias do Plano Nacional de Educação (PNE) e com o Plano Municipal de Educação (PME), a fim</w:t>
            </w:r>
            <w:r w:rsidR="008759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5B0">
              <w:rPr>
                <w:rFonts w:ascii="Arial" w:hAnsi="Arial" w:cs="Arial"/>
                <w:sz w:val="20"/>
                <w:szCs w:val="20"/>
              </w:rPr>
              <w:t>de viabilizar sua plena execução e cumprir o preconizado no art. 10 da Lei n. 13.005/2014 (PNE);</w:t>
            </w:r>
          </w:p>
          <w:p w14:paraId="039DB349" w14:textId="1BB29AF5" w:rsidR="00CE25B0" w:rsidRPr="00CE25B0" w:rsidRDefault="00CE25B0" w:rsidP="00CE25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2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2.3. </w:t>
            </w:r>
            <w:r w:rsidRPr="00CE25B0">
              <w:rPr>
                <w:rFonts w:ascii="Arial" w:hAnsi="Arial" w:cs="Arial"/>
                <w:sz w:val="20"/>
                <w:szCs w:val="20"/>
              </w:rPr>
              <w:t>Efetue as adequações necessárias ao cumprimento de todos os indicadores de educação</w:t>
            </w:r>
            <w:r w:rsidR="008759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5B0">
              <w:rPr>
                <w:rFonts w:ascii="Arial" w:hAnsi="Arial" w:cs="Arial"/>
                <w:sz w:val="20"/>
                <w:szCs w:val="20"/>
              </w:rPr>
              <w:t>(creche e pré-escola), consoante o disposto no item 3.3.1 e 3.1.2 do Parecer MPC, avaliados no</w:t>
            </w:r>
            <w:r w:rsidR="008759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5B0">
              <w:rPr>
                <w:rFonts w:ascii="Arial" w:hAnsi="Arial" w:cs="Arial"/>
                <w:sz w:val="20"/>
                <w:szCs w:val="20"/>
              </w:rPr>
              <w:t>presente exercício quanto às políticas públicas municipais, conforme apontado no item 8 do</w:t>
            </w:r>
            <w:r w:rsidR="008759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5B0">
              <w:rPr>
                <w:rFonts w:ascii="Arial" w:hAnsi="Arial" w:cs="Arial"/>
                <w:sz w:val="20"/>
                <w:szCs w:val="20"/>
              </w:rPr>
              <w:t>Relatório DGO;</w:t>
            </w:r>
          </w:p>
          <w:p w14:paraId="4832B071" w14:textId="54D2544D" w:rsidR="00CE25B0" w:rsidRPr="00CE25B0" w:rsidRDefault="00CE25B0" w:rsidP="00CE25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2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2.4. </w:t>
            </w:r>
            <w:r w:rsidRPr="00CE25B0">
              <w:rPr>
                <w:rFonts w:ascii="Arial" w:hAnsi="Arial" w:cs="Arial"/>
                <w:sz w:val="20"/>
                <w:szCs w:val="20"/>
              </w:rPr>
              <w:t>Disponibilize no Portal de Transparência todos os dados exigidos pela legislação</w:t>
            </w:r>
            <w:r w:rsidR="008759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5B0">
              <w:rPr>
                <w:rFonts w:ascii="Arial" w:hAnsi="Arial" w:cs="Arial"/>
                <w:sz w:val="20"/>
                <w:szCs w:val="20"/>
              </w:rPr>
              <w:t>pertinente, em especial os valores de lançamento de receita do Município;</w:t>
            </w:r>
          </w:p>
          <w:p w14:paraId="4F527322" w14:textId="1EED67B8" w:rsidR="00CE25B0" w:rsidRPr="00CE25B0" w:rsidRDefault="00CE25B0" w:rsidP="00CE25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25B0">
              <w:rPr>
                <w:rFonts w:ascii="Arial" w:hAnsi="Arial" w:cs="Arial"/>
                <w:b/>
                <w:bCs/>
                <w:sz w:val="20"/>
                <w:szCs w:val="20"/>
              </w:rPr>
              <w:t>2.5</w:t>
            </w:r>
            <w:r w:rsidRPr="00CE25B0">
              <w:rPr>
                <w:rFonts w:ascii="Arial" w:hAnsi="Arial" w:cs="Arial"/>
                <w:sz w:val="20"/>
                <w:szCs w:val="20"/>
              </w:rPr>
              <w:t>. Observe as recomendações, determinação, solicitações e ciência constantes dos itens I a III</w:t>
            </w:r>
            <w:r w:rsidR="008759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5B0">
              <w:rPr>
                <w:rFonts w:ascii="Arial" w:hAnsi="Arial" w:cs="Arial"/>
                <w:sz w:val="20"/>
                <w:szCs w:val="20"/>
              </w:rPr>
              <w:t>da Conclusão do Relatório DGO;</w:t>
            </w:r>
          </w:p>
          <w:p w14:paraId="19CBADF7" w14:textId="5CC58379" w:rsidR="00F63116" w:rsidRDefault="00CE25B0" w:rsidP="0087598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E2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2.6. </w:t>
            </w:r>
            <w:r w:rsidRPr="00CE25B0">
              <w:rPr>
                <w:rFonts w:ascii="Arial" w:hAnsi="Arial" w:cs="Arial"/>
                <w:sz w:val="20"/>
                <w:szCs w:val="20"/>
              </w:rPr>
              <w:t>Divulgue esta prestação de contas e este Parecer Prévio, inclusive em meios eletrônicos de</w:t>
            </w:r>
            <w:r w:rsidR="008759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5B0">
              <w:rPr>
                <w:rFonts w:ascii="Arial" w:hAnsi="Arial" w:cs="Arial"/>
                <w:sz w:val="20"/>
                <w:szCs w:val="20"/>
              </w:rPr>
              <w:t>acesso público, conforme estabelece o art. 48 da Lei Complementar n. 101/2000 – LRF.</w:t>
            </w:r>
          </w:p>
        </w:tc>
      </w:tr>
    </w:tbl>
    <w:p w14:paraId="07C1D4D3" w14:textId="77777777" w:rsidR="00F63116" w:rsidRPr="005506AB" w:rsidRDefault="00F63116" w:rsidP="00CE25B0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</w:p>
    <w:p w14:paraId="738B04EC" w14:textId="77777777" w:rsidR="00A525B2" w:rsidRPr="005506AB" w:rsidRDefault="00ED6468" w:rsidP="005506A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E</w:t>
      </w:r>
      <w:r w:rsidR="00A525B2" w:rsidRPr="005506AB">
        <w:rPr>
          <w:rFonts w:ascii="Arial" w:hAnsi="Arial" w:cs="Arial"/>
          <w:sz w:val="24"/>
          <w:szCs w:val="24"/>
        </w:rPr>
        <w:t xml:space="preserve">m conformidade com o Regimento Interno, a Comissão </w:t>
      </w:r>
      <w:r w:rsidR="000131A5" w:rsidRPr="005506AB">
        <w:rPr>
          <w:rFonts w:ascii="Arial" w:hAnsi="Arial" w:cs="Arial"/>
          <w:sz w:val="24"/>
          <w:szCs w:val="24"/>
        </w:rPr>
        <w:t>proverá</w:t>
      </w:r>
      <w:r w:rsidR="00A525B2" w:rsidRPr="005506AB">
        <w:rPr>
          <w:rFonts w:ascii="Arial" w:hAnsi="Arial" w:cs="Arial"/>
          <w:sz w:val="24"/>
          <w:szCs w:val="24"/>
        </w:rPr>
        <w:t xml:space="preserve"> Projeto de Decreto Legislativo pela aprovação das respectivas contas.</w:t>
      </w:r>
    </w:p>
    <w:p w14:paraId="3748D1F0" w14:textId="77777777" w:rsidR="00A525B2" w:rsidRPr="005506AB" w:rsidRDefault="00A525B2" w:rsidP="005506A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</w:p>
    <w:p w14:paraId="7FAAB5EE" w14:textId="6586C6FD" w:rsidR="00A525B2" w:rsidRPr="005506AB" w:rsidRDefault="00A525B2" w:rsidP="005506A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 xml:space="preserve">Sala das Comissões Permanentes da Câmara Municipal de Vereadores de Tunápolis, em </w:t>
      </w:r>
      <w:r w:rsidR="0089746E">
        <w:rPr>
          <w:rFonts w:ascii="Arial" w:hAnsi="Arial" w:cs="Arial"/>
          <w:sz w:val="24"/>
          <w:szCs w:val="24"/>
        </w:rPr>
        <w:t>05 de dezembro.</w:t>
      </w:r>
    </w:p>
    <w:p w14:paraId="5312722E" w14:textId="77777777" w:rsidR="00A525B2" w:rsidRPr="005506AB" w:rsidRDefault="00A525B2" w:rsidP="005506AB">
      <w:pPr>
        <w:spacing w:line="276" w:lineRule="auto"/>
        <w:ind w:firstLine="1418"/>
        <w:jc w:val="left"/>
        <w:rPr>
          <w:rFonts w:ascii="Arial" w:hAnsi="Arial" w:cs="Arial"/>
          <w:sz w:val="24"/>
          <w:szCs w:val="24"/>
        </w:rPr>
      </w:pPr>
    </w:p>
    <w:p w14:paraId="05B33F55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48915394" w14:textId="77777777" w:rsidR="00A525B2" w:rsidRPr="005506AB" w:rsidRDefault="00A525B2" w:rsidP="005506AB">
      <w:pPr>
        <w:spacing w:line="276" w:lineRule="auto"/>
        <w:ind w:firstLine="1418"/>
        <w:jc w:val="left"/>
        <w:rPr>
          <w:rFonts w:ascii="Arial" w:hAnsi="Arial" w:cs="Arial"/>
          <w:sz w:val="24"/>
          <w:szCs w:val="24"/>
        </w:rPr>
      </w:pPr>
    </w:p>
    <w:p w14:paraId="0A403B59" w14:textId="460ECF6C" w:rsidR="00A525B2" w:rsidRPr="005506AB" w:rsidRDefault="00D970F7" w:rsidP="005506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</w:t>
      </w:r>
      <w:r w:rsidR="006616F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DRO BORTOLINI </w:t>
      </w:r>
    </w:p>
    <w:p w14:paraId="5D316BFE" w14:textId="3DAB59E5" w:rsidR="00A525B2" w:rsidRDefault="00A525B2" w:rsidP="005506AB">
      <w:pPr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Relator</w:t>
      </w:r>
    </w:p>
    <w:p w14:paraId="71A46B33" w14:textId="4BB16888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04AB026D" w14:textId="2F88B716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783AB090" w14:textId="7E946C62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770E36AE" w14:textId="7754B741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0807372C" w14:textId="17DC3E85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77573C3F" w14:textId="68AF251C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222F967D" w14:textId="16AD01CB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062A8E0F" w14:textId="2998899A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2DE1289F" w14:textId="31E03740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01B463C7" w14:textId="00646E63" w:rsidR="00D970F7" w:rsidRDefault="00D970F7" w:rsidP="005506AB">
      <w:pPr>
        <w:jc w:val="center"/>
        <w:rPr>
          <w:rFonts w:ascii="Arial" w:hAnsi="Arial" w:cs="Arial"/>
          <w:sz w:val="24"/>
          <w:szCs w:val="24"/>
        </w:rPr>
      </w:pPr>
    </w:p>
    <w:p w14:paraId="19435C99" w14:textId="2AA29812" w:rsidR="00A525B2" w:rsidRPr="005506AB" w:rsidRDefault="00A525B2" w:rsidP="005506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CÂMARA MUNICIPAL DE VEREADORES</w:t>
      </w:r>
    </w:p>
    <w:p w14:paraId="48441FA4" w14:textId="77777777" w:rsidR="00A525B2" w:rsidRPr="005506AB" w:rsidRDefault="00A525B2" w:rsidP="005506A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TUNÁPOLIS – SC</w:t>
      </w:r>
    </w:p>
    <w:p w14:paraId="787EAA0C" w14:textId="77777777" w:rsidR="00A525B2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</w:p>
    <w:p w14:paraId="2E4E7589" w14:textId="77777777" w:rsidR="00A525B2" w:rsidRPr="005506AB" w:rsidRDefault="00A525B2" w:rsidP="00DC5FC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2FFE742" w14:textId="77777777" w:rsidR="00A525B2" w:rsidRPr="005506AB" w:rsidRDefault="00A525B2" w:rsidP="00DC5FC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>COMISSÃO DE FINANÇAS, ORÇAMENTO E CONTAS DO MUNICÍPIO.</w:t>
      </w:r>
    </w:p>
    <w:p w14:paraId="7E578452" w14:textId="77777777" w:rsidR="00A525B2" w:rsidRPr="005506AB" w:rsidRDefault="00A525B2" w:rsidP="00DC5FC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E7C4A93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0145F54C" w14:textId="77777777" w:rsidR="00A525B2" w:rsidRPr="005506AB" w:rsidRDefault="00A525B2" w:rsidP="005506AB">
      <w:pPr>
        <w:widowControl w:val="0"/>
        <w:spacing w:line="276" w:lineRule="auto"/>
        <w:ind w:firstLine="1276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14:paraId="76166815" w14:textId="7EC03969" w:rsidR="007C164B" w:rsidRPr="005506AB" w:rsidRDefault="0017401E" w:rsidP="005506AB">
      <w:pPr>
        <w:spacing w:line="276" w:lineRule="auto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 xml:space="preserve">- </w:t>
      </w:r>
      <w:r w:rsidR="007C164B" w:rsidRPr="005506AB">
        <w:rPr>
          <w:rFonts w:ascii="Arial" w:hAnsi="Arial" w:cs="Arial"/>
          <w:sz w:val="24"/>
          <w:szCs w:val="24"/>
        </w:rPr>
        <w:t>Processo de Prestação de Contas do Prefeito referente ao exercício 20</w:t>
      </w:r>
      <w:r w:rsidR="00DC5FCB">
        <w:rPr>
          <w:rFonts w:ascii="Arial" w:hAnsi="Arial" w:cs="Arial"/>
          <w:sz w:val="24"/>
          <w:szCs w:val="24"/>
        </w:rPr>
        <w:t>21</w:t>
      </w:r>
      <w:r w:rsidR="007C164B" w:rsidRPr="005506AB">
        <w:rPr>
          <w:rFonts w:ascii="Arial" w:hAnsi="Arial" w:cs="Arial"/>
          <w:sz w:val="24"/>
          <w:szCs w:val="24"/>
        </w:rPr>
        <w:t xml:space="preserve"> (@</w:t>
      </w:r>
      <w:r w:rsidR="0087598B"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PCP </w:t>
      </w:r>
      <w:r w:rsidR="0087598B">
        <w:rPr>
          <w:rFonts w:ascii="Arial" w:hAnsi="Arial" w:cs="Arial"/>
          <w:color w:val="000000"/>
          <w:sz w:val="24"/>
          <w:szCs w:val="24"/>
          <w:lang w:eastAsia="pt-BR"/>
        </w:rPr>
        <w:t>22/00090905</w:t>
      </w:r>
      <w:r w:rsidR="00D970F7">
        <w:rPr>
          <w:rFonts w:ascii="Arial" w:hAnsi="Arial" w:cs="Arial"/>
          <w:sz w:val="24"/>
          <w:szCs w:val="24"/>
        </w:rPr>
        <w:t>)</w:t>
      </w:r>
      <w:r w:rsidR="007C164B" w:rsidRPr="005506AB">
        <w:rPr>
          <w:rFonts w:ascii="Arial" w:hAnsi="Arial" w:cs="Arial"/>
          <w:sz w:val="24"/>
          <w:szCs w:val="24"/>
        </w:rPr>
        <w:t xml:space="preserve"> da Prefeitura Municipal de Tunápolis, com o Parecer Prévio do Tribunal de Contas do Estado.</w:t>
      </w:r>
    </w:p>
    <w:p w14:paraId="73E01CE1" w14:textId="54A3F4F3" w:rsidR="00A525B2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</w:p>
    <w:p w14:paraId="77C0CD63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3A9438B0" w14:textId="77777777" w:rsidR="0017401E" w:rsidRPr="005506AB" w:rsidRDefault="0017401E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180" w:type="dxa"/>
        <w:tblInd w:w="0" w:type="dxa"/>
        <w:tblLook w:val="04A0" w:firstRow="1" w:lastRow="0" w:firstColumn="1" w:lastColumn="0" w:noHBand="0" w:noVBand="1"/>
      </w:tblPr>
      <w:tblGrid>
        <w:gridCol w:w="3085"/>
        <w:gridCol w:w="3402"/>
        <w:gridCol w:w="2693"/>
      </w:tblGrid>
      <w:tr w:rsidR="00A525B2" w:rsidRPr="005506AB" w14:paraId="60F32B4F" w14:textId="77777777" w:rsidTr="00A525B2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F9D2A" w14:textId="77777777" w:rsidR="00A525B2" w:rsidRPr="005506AB" w:rsidRDefault="00A525B2" w:rsidP="005506A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AB"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D3D50" w14:textId="77777777" w:rsidR="00A525B2" w:rsidRPr="005506AB" w:rsidRDefault="00A525B2" w:rsidP="005506A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AB">
              <w:rPr>
                <w:rFonts w:ascii="Arial" w:hAnsi="Arial" w:cs="Arial"/>
                <w:sz w:val="24"/>
                <w:szCs w:val="24"/>
              </w:rPr>
              <w:t>PELA REJEIÇÃO/APROVAÇÃO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5CC81" w14:textId="77777777" w:rsidR="00A525B2" w:rsidRPr="005506AB" w:rsidRDefault="00A525B2" w:rsidP="005506A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6AB">
              <w:rPr>
                <w:rFonts w:ascii="Arial" w:hAnsi="Arial" w:cs="Arial"/>
                <w:sz w:val="24"/>
                <w:szCs w:val="24"/>
              </w:rPr>
              <w:t>ASSINATURA</w:t>
            </w:r>
          </w:p>
        </w:tc>
      </w:tr>
      <w:tr w:rsidR="00A525B2" w:rsidRPr="005506AB" w14:paraId="5A841EB7" w14:textId="77777777" w:rsidTr="00A525B2">
        <w:trPr>
          <w:trHeight w:val="3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D151A2" w14:textId="3837B5AF" w:rsidR="00A525B2" w:rsidRPr="005506AB" w:rsidRDefault="00D970F7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ALOÍSIO JOSÉ LEHMEN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5AF2F" w14:textId="77777777" w:rsidR="00A525B2" w:rsidRPr="005506AB" w:rsidRDefault="00A525B2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E7751" w14:textId="77777777" w:rsidR="00A525B2" w:rsidRPr="005506AB" w:rsidRDefault="00A525B2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5B2" w:rsidRPr="005506AB" w14:paraId="6F2AB975" w14:textId="77777777" w:rsidTr="00A525B2">
        <w:trPr>
          <w:trHeight w:val="3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9B267A" w14:textId="1B2DA85E" w:rsidR="00A525B2" w:rsidRPr="005506AB" w:rsidRDefault="00310BC3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506AB">
              <w:rPr>
                <w:rFonts w:ascii="Arial" w:hAnsi="Arial" w:cs="Arial"/>
                <w:sz w:val="24"/>
                <w:szCs w:val="24"/>
              </w:rPr>
              <w:t>LEANDRO BORTOLINI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FE18C" w14:textId="77777777" w:rsidR="00A525B2" w:rsidRPr="005506AB" w:rsidRDefault="00A525B2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C9FCA" w14:textId="77777777" w:rsidR="00A525B2" w:rsidRPr="005506AB" w:rsidRDefault="00A525B2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5B2" w:rsidRPr="005506AB" w14:paraId="25BF1948" w14:textId="77777777" w:rsidTr="00A525B2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19BCBB" w14:textId="038E329D" w:rsidR="00A525B2" w:rsidRPr="005506AB" w:rsidRDefault="00D970F7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NEIDE M. S. BAMBERG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A3C41" w14:textId="77777777" w:rsidR="00A525B2" w:rsidRPr="005506AB" w:rsidRDefault="00A525B2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68027" w14:textId="77777777" w:rsidR="00A525B2" w:rsidRPr="005506AB" w:rsidRDefault="00A525B2" w:rsidP="005506AB">
            <w:pPr>
              <w:spacing w:line="276" w:lineRule="auto"/>
              <w:ind w:left="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39B314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5397CA86" w14:textId="77777777" w:rsidR="00A525B2" w:rsidRPr="005506AB" w:rsidRDefault="00A525B2" w:rsidP="005506AB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014162BB" w14:textId="77777777" w:rsidR="00A525B2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</w:p>
    <w:p w14:paraId="44755090" w14:textId="4EFB5D38" w:rsidR="002F0377" w:rsidRPr="005506AB" w:rsidRDefault="00A525B2" w:rsidP="005506AB">
      <w:pPr>
        <w:spacing w:line="276" w:lineRule="auto"/>
        <w:rPr>
          <w:rFonts w:ascii="Arial" w:hAnsi="Arial" w:cs="Arial"/>
          <w:sz w:val="24"/>
          <w:szCs w:val="24"/>
        </w:rPr>
      </w:pPr>
      <w:r w:rsidRPr="005506AB">
        <w:rPr>
          <w:rFonts w:ascii="Arial" w:hAnsi="Arial" w:cs="Arial"/>
          <w:sz w:val="24"/>
          <w:szCs w:val="24"/>
        </w:rPr>
        <w:t xml:space="preserve">Reunião Ordinária realizada </w:t>
      </w:r>
      <w:r w:rsidR="00480590">
        <w:rPr>
          <w:rFonts w:ascii="Arial" w:hAnsi="Arial" w:cs="Arial"/>
          <w:sz w:val="24"/>
          <w:szCs w:val="24"/>
        </w:rPr>
        <w:t xml:space="preserve">em </w:t>
      </w:r>
      <w:r w:rsidR="0089746E">
        <w:rPr>
          <w:rFonts w:ascii="Arial" w:hAnsi="Arial" w:cs="Arial"/>
          <w:sz w:val="24"/>
          <w:szCs w:val="24"/>
        </w:rPr>
        <w:t xml:space="preserve">05 de </w:t>
      </w:r>
      <w:proofErr w:type="gramStart"/>
      <w:r w:rsidR="0089746E">
        <w:rPr>
          <w:rFonts w:ascii="Arial" w:hAnsi="Arial" w:cs="Arial"/>
          <w:sz w:val="24"/>
          <w:szCs w:val="24"/>
        </w:rPr>
        <w:t>Dezembro</w:t>
      </w:r>
      <w:proofErr w:type="gramEnd"/>
      <w:r w:rsidR="0089746E">
        <w:rPr>
          <w:rFonts w:ascii="Arial" w:hAnsi="Arial" w:cs="Arial"/>
          <w:sz w:val="24"/>
          <w:szCs w:val="24"/>
        </w:rPr>
        <w:t xml:space="preserve"> </w:t>
      </w:r>
      <w:r w:rsidR="00480590">
        <w:rPr>
          <w:rFonts w:ascii="Arial" w:hAnsi="Arial" w:cs="Arial"/>
          <w:sz w:val="24"/>
          <w:szCs w:val="24"/>
        </w:rPr>
        <w:t>de 202</w:t>
      </w:r>
      <w:r w:rsidR="00D970F7">
        <w:rPr>
          <w:rFonts w:ascii="Arial" w:hAnsi="Arial" w:cs="Arial"/>
          <w:sz w:val="24"/>
          <w:szCs w:val="24"/>
        </w:rPr>
        <w:t>2</w:t>
      </w:r>
      <w:r w:rsidR="00480590">
        <w:rPr>
          <w:rFonts w:ascii="Arial" w:hAnsi="Arial" w:cs="Arial"/>
          <w:sz w:val="24"/>
          <w:szCs w:val="24"/>
        </w:rPr>
        <w:t>.</w:t>
      </w:r>
    </w:p>
    <w:sectPr w:rsidR="002F0377" w:rsidRPr="005506AB" w:rsidSect="00CE25B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B2"/>
    <w:rsid w:val="000131A5"/>
    <w:rsid w:val="000E59E4"/>
    <w:rsid w:val="0011006E"/>
    <w:rsid w:val="0017401E"/>
    <w:rsid w:val="001C60D3"/>
    <w:rsid w:val="002F0377"/>
    <w:rsid w:val="00310BC3"/>
    <w:rsid w:val="00480590"/>
    <w:rsid w:val="0053119A"/>
    <w:rsid w:val="00546431"/>
    <w:rsid w:val="005506AB"/>
    <w:rsid w:val="005F70BE"/>
    <w:rsid w:val="006132FA"/>
    <w:rsid w:val="006616F7"/>
    <w:rsid w:val="006B2398"/>
    <w:rsid w:val="006D25F1"/>
    <w:rsid w:val="00746EBF"/>
    <w:rsid w:val="007B79F5"/>
    <w:rsid w:val="007C1307"/>
    <w:rsid w:val="007C164B"/>
    <w:rsid w:val="008733AE"/>
    <w:rsid w:val="0087598B"/>
    <w:rsid w:val="0089746E"/>
    <w:rsid w:val="008D1826"/>
    <w:rsid w:val="00996890"/>
    <w:rsid w:val="00A525B2"/>
    <w:rsid w:val="00B1043C"/>
    <w:rsid w:val="00B41916"/>
    <w:rsid w:val="00BB1B5A"/>
    <w:rsid w:val="00C1644A"/>
    <w:rsid w:val="00C4653D"/>
    <w:rsid w:val="00C51B7E"/>
    <w:rsid w:val="00CC79C0"/>
    <w:rsid w:val="00CE25B0"/>
    <w:rsid w:val="00D01E77"/>
    <w:rsid w:val="00D95F96"/>
    <w:rsid w:val="00D970F7"/>
    <w:rsid w:val="00DC5FCB"/>
    <w:rsid w:val="00E17261"/>
    <w:rsid w:val="00ED6468"/>
    <w:rsid w:val="00F6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E2F0"/>
  <w15:chartTrackingRefBased/>
  <w15:docId w15:val="{A9BD85B1-E49E-43FD-BC0C-2A27BEC0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5B2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25B2"/>
    <w:pPr>
      <w:spacing w:after="0" w:line="240" w:lineRule="auto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ED6468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EC587-E1E5-49BA-B18E-BC03DF44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2022-12-05T18:38:00Z</cp:lastPrinted>
  <dcterms:created xsi:type="dcterms:W3CDTF">2022-12-05T18:38:00Z</dcterms:created>
  <dcterms:modified xsi:type="dcterms:W3CDTF">2022-12-05T18:38:00Z</dcterms:modified>
</cp:coreProperties>
</file>