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DF6A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CÂMARA MUNICIPAL DE VEREADORES</w:t>
      </w:r>
    </w:p>
    <w:p w14:paraId="1330C2A6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TUNÁPOLIS – SC</w:t>
      </w:r>
    </w:p>
    <w:p w14:paraId="50A80550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58E0B1F1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B625997" w14:textId="20646F1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- Processo de Prestação de Contas do Prefeito referente ao exercício 20</w:t>
      </w:r>
      <w:r w:rsidR="0011006E">
        <w:rPr>
          <w:rFonts w:ascii="Arial" w:hAnsi="Arial" w:cs="Arial"/>
          <w:sz w:val="24"/>
          <w:szCs w:val="24"/>
        </w:rPr>
        <w:t>20</w:t>
      </w:r>
      <w:r w:rsidR="007C164B" w:rsidRPr="005506AB">
        <w:rPr>
          <w:rFonts w:ascii="Arial" w:hAnsi="Arial" w:cs="Arial"/>
          <w:sz w:val="24"/>
          <w:szCs w:val="24"/>
        </w:rPr>
        <w:t xml:space="preserve"> (@PCP 2</w:t>
      </w:r>
      <w:r w:rsidR="0011006E">
        <w:rPr>
          <w:rFonts w:ascii="Arial" w:hAnsi="Arial" w:cs="Arial"/>
          <w:sz w:val="24"/>
          <w:szCs w:val="24"/>
        </w:rPr>
        <w:t>1/00120489</w:t>
      </w:r>
      <w:r w:rsidRPr="005506AB">
        <w:rPr>
          <w:rFonts w:ascii="Arial" w:hAnsi="Arial" w:cs="Arial"/>
          <w:sz w:val="24"/>
          <w:szCs w:val="24"/>
        </w:rPr>
        <w:t>), da Prefeitura Municipal de Tunápolis, com o Parecer Prévio do Tribunal de Contas do Estado.</w:t>
      </w:r>
    </w:p>
    <w:p w14:paraId="0713F649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3DC0EE3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PARECER</w:t>
      </w:r>
    </w:p>
    <w:p w14:paraId="4C33CF10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A9B8648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Cumprindo determinação da Comissão de Finanças, Orçamento e Contas do Município, como relator, exaro o seguinte Parecer sobre a matéria: </w:t>
      </w:r>
    </w:p>
    <w:p w14:paraId="3B7B6075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07303C5A" w14:textId="1680583D" w:rsidR="00ED6468" w:rsidRPr="005506AB" w:rsidRDefault="00ED6468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ab/>
      </w:r>
      <w:r w:rsidR="00A525B2" w:rsidRPr="005506AB">
        <w:rPr>
          <w:rFonts w:ascii="Arial" w:hAnsi="Arial" w:cs="Arial"/>
          <w:sz w:val="24"/>
          <w:szCs w:val="24"/>
        </w:rPr>
        <w:t>Declaro que o Processo de Prestação de Contas do Prefeito referente ao exercício 20</w:t>
      </w:r>
      <w:r w:rsidR="0011006E">
        <w:rPr>
          <w:rFonts w:ascii="Arial" w:hAnsi="Arial" w:cs="Arial"/>
          <w:sz w:val="24"/>
          <w:szCs w:val="24"/>
        </w:rPr>
        <w:t xml:space="preserve">20 </w:t>
      </w:r>
      <w:r w:rsidR="0011006E" w:rsidRPr="005506AB">
        <w:rPr>
          <w:rFonts w:ascii="Arial" w:hAnsi="Arial" w:cs="Arial"/>
          <w:sz w:val="24"/>
          <w:szCs w:val="24"/>
        </w:rPr>
        <w:t>(@PCP 2</w:t>
      </w:r>
      <w:r w:rsidR="0011006E">
        <w:rPr>
          <w:rFonts w:ascii="Arial" w:hAnsi="Arial" w:cs="Arial"/>
          <w:sz w:val="24"/>
          <w:szCs w:val="24"/>
        </w:rPr>
        <w:t>1/00120489</w:t>
      </w:r>
      <w:r w:rsidR="00A525B2" w:rsidRPr="005506AB">
        <w:rPr>
          <w:rFonts w:ascii="Arial" w:hAnsi="Arial" w:cs="Arial"/>
          <w:sz w:val="24"/>
          <w:szCs w:val="24"/>
        </w:rPr>
        <w:t>), devidamente instruído com o Parecer prévio do Tribunal de Contas do Estado, pela aprovação, está apto para ser deliberado em Plenário.</w:t>
      </w:r>
      <w:r w:rsidR="0017401E" w:rsidRPr="005506AB">
        <w:rPr>
          <w:rFonts w:ascii="Arial" w:hAnsi="Arial" w:cs="Arial"/>
          <w:sz w:val="24"/>
          <w:szCs w:val="24"/>
        </w:rPr>
        <w:t xml:space="preserve"> E</w:t>
      </w:r>
      <w:r w:rsidR="005F70BE" w:rsidRPr="005506AB">
        <w:rPr>
          <w:rFonts w:ascii="Arial" w:hAnsi="Arial" w:cs="Arial"/>
          <w:sz w:val="24"/>
          <w:szCs w:val="24"/>
        </w:rPr>
        <w:t>sta Comissão</w:t>
      </w:r>
      <w:r w:rsidR="0017401E" w:rsidRPr="005506AB">
        <w:rPr>
          <w:rFonts w:ascii="Arial" w:hAnsi="Arial" w:cs="Arial"/>
          <w:sz w:val="24"/>
          <w:szCs w:val="24"/>
        </w:rPr>
        <w:t xml:space="preserve"> acompanha o Parecer prévio pela aprovação</w:t>
      </w:r>
      <w:r w:rsidR="006D25F1" w:rsidRPr="005506AB">
        <w:rPr>
          <w:rFonts w:ascii="Arial" w:hAnsi="Arial" w:cs="Arial"/>
          <w:sz w:val="24"/>
          <w:szCs w:val="24"/>
        </w:rPr>
        <w:t xml:space="preserve"> das contas</w:t>
      </w:r>
      <w:r w:rsidR="005F70BE" w:rsidRPr="005506AB">
        <w:rPr>
          <w:rFonts w:ascii="Arial" w:hAnsi="Arial" w:cs="Arial"/>
          <w:sz w:val="24"/>
          <w:szCs w:val="24"/>
        </w:rPr>
        <w:t>,</w:t>
      </w:r>
      <w:r w:rsidR="0017401E" w:rsidRPr="005506AB">
        <w:rPr>
          <w:rFonts w:ascii="Arial" w:hAnsi="Arial" w:cs="Arial"/>
          <w:sz w:val="24"/>
          <w:szCs w:val="24"/>
        </w:rPr>
        <w:t xml:space="preserve"> </w:t>
      </w:r>
      <w:r w:rsidR="008D1826" w:rsidRPr="005506AB">
        <w:rPr>
          <w:rFonts w:ascii="Arial" w:hAnsi="Arial" w:cs="Arial"/>
          <w:sz w:val="24"/>
          <w:szCs w:val="24"/>
        </w:rPr>
        <w:t>uma vez que</w:t>
      </w:r>
      <w:r w:rsidR="00C4653D" w:rsidRPr="005506AB">
        <w:rPr>
          <w:rFonts w:ascii="Arial" w:hAnsi="Arial" w:cs="Arial"/>
          <w:sz w:val="24"/>
          <w:szCs w:val="24"/>
        </w:rPr>
        <w:t xml:space="preserve"> </w:t>
      </w:r>
      <w:r w:rsidR="000131A5" w:rsidRPr="005506AB">
        <w:rPr>
          <w:rFonts w:ascii="Arial" w:hAnsi="Arial" w:cs="Arial"/>
          <w:sz w:val="24"/>
          <w:szCs w:val="24"/>
        </w:rPr>
        <w:t xml:space="preserve">não </w:t>
      </w:r>
      <w:r w:rsidR="00B1043C" w:rsidRPr="005506AB">
        <w:rPr>
          <w:rFonts w:ascii="Arial" w:hAnsi="Arial" w:cs="Arial"/>
          <w:sz w:val="24"/>
          <w:szCs w:val="24"/>
        </w:rPr>
        <w:t xml:space="preserve">se encontram </w:t>
      </w:r>
      <w:r w:rsidR="000131A5" w:rsidRPr="005506AB">
        <w:rPr>
          <w:rFonts w:ascii="Arial" w:hAnsi="Arial" w:cs="Arial"/>
          <w:sz w:val="24"/>
          <w:szCs w:val="24"/>
        </w:rPr>
        <w:t>apontamentos que ensejam orientação diversa</w:t>
      </w:r>
      <w:r w:rsidR="006B2398" w:rsidRPr="005506AB">
        <w:rPr>
          <w:rFonts w:ascii="Arial" w:hAnsi="Arial" w:cs="Arial"/>
          <w:sz w:val="24"/>
          <w:szCs w:val="24"/>
        </w:rPr>
        <w:t>, atentando, no entanto para que seja cientificado o Chefe do Poder Executivo quantos as recomendações emitidas no ite</w:t>
      </w:r>
      <w:r w:rsidR="005506AB" w:rsidRPr="005506AB">
        <w:rPr>
          <w:rFonts w:ascii="Arial" w:hAnsi="Arial" w:cs="Arial"/>
          <w:sz w:val="24"/>
          <w:szCs w:val="24"/>
        </w:rPr>
        <w:t>m</w:t>
      </w:r>
      <w:r w:rsidR="006B2398" w:rsidRPr="005506AB">
        <w:rPr>
          <w:rFonts w:ascii="Arial" w:hAnsi="Arial" w:cs="Arial"/>
          <w:sz w:val="24"/>
          <w:szCs w:val="24"/>
        </w:rPr>
        <w:t xml:space="preserve"> 2 do parecer Prévio</w:t>
      </w:r>
      <w:r w:rsidRPr="005506AB">
        <w:rPr>
          <w:rFonts w:ascii="Arial" w:hAnsi="Arial" w:cs="Arial"/>
          <w:sz w:val="24"/>
          <w:szCs w:val="24"/>
        </w:rPr>
        <w:t>;</w:t>
      </w:r>
    </w:p>
    <w:p w14:paraId="608805FC" w14:textId="77777777" w:rsidR="00ED6468" w:rsidRPr="005506AB" w:rsidRDefault="00ED6468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17944E87" w14:textId="3053CD1B" w:rsidR="00D970F7" w:rsidRPr="00D970F7" w:rsidRDefault="00ED6468" w:rsidP="00D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“</w:t>
      </w:r>
      <w:r w:rsidR="005506AB" w:rsidRPr="005506AB">
        <w:rPr>
          <w:rFonts w:ascii="Arial" w:hAnsi="Arial" w:cs="Arial"/>
          <w:sz w:val="24"/>
          <w:szCs w:val="24"/>
        </w:rPr>
        <w:t xml:space="preserve">2. </w:t>
      </w:r>
      <w:r w:rsidR="00D970F7" w:rsidRPr="00D970F7">
        <w:rPr>
          <w:rFonts w:ascii="Arial" w:hAnsi="Arial" w:cs="Arial"/>
          <w:sz w:val="24"/>
          <w:szCs w:val="24"/>
        </w:rPr>
        <w:t>Recomenda ao Poder Executivo de Tunápolis que adote providências visando à correção da</w:t>
      </w:r>
      <w:r w:rsidR="00D970F7">
        <w:rPr>
          <w:rFonts w:ascii="Arial" w:hAnsi="Arial" w:cs="Arial"/>
          <w:sz w:val="24"/>
          <w:szCs w:val="24"/>
        </w:rPr>
        <w:t xml:space="preserve"> </w:t>
      </w:r>
      <w:r w:rsidR="00D970F7" w:rsidRPr="00D970F7">
        <w:rPr>
          <w:rFonts w:ascii="Arial" w:hAnsi="Arial" w:cs="Arial"/>
          <w:sz w:val="24"/>
          <w:szCs w:val="24"/>
        </w:rPr>
        <w:t>deficiência apontada pelo Órgão Instrutivo, a seguir identificada, e à prevenção de outras semelhantes:</w:t>
      </w:r>
    </w:p>
    <w:p w14:paraId="46D68584" w14:textId="643A0094" w:rsidR="00D970F7" w:rsidRPr="00D970F7" w:rsidRDefault="00D970F7" w:rsidP="00D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D970F7">
        <w:rPr>
          <w:rFonts w:ascii="Arial" w:hAnsi="Arial" w:cs="Arial"/>
          <w:sz w:val="24"/>
          <w:szCs w:val="24"/>
        </w:rPr>
        <w:t>2.1. Aplicação parcial no valor de R$ 4.023,50, no primeiro trimestre de 2020, referente aos</w:t>
      </w:r>
      <w:r>
        <w:rPr>
          <w:rFonts w:ascii="Arial" w:hAnsi="Arial" w:cs="Arial"/>
          <w:sz w:val="24"/>
          <w:szCs w:val="24"/>
        </w:rPr>
        <w:t xml:space="preserve"> </w:t>
      </w:r>
      <w:r w:rsidRPr="00D970F7">
        <w:rPr>
          <w:rFonts w:ascii="Arial" w:hAnsi="Arial" w:cs="Arial"/>
          <w:sz w:val="24"/>
          <w:szCs w:val="24"/>
        </w:rPr>
        <w:t>recursos do FUNDEB remanescentes do exercício anterior no valor de R$ 4.038,55, mediante a abertura</w:t>
      </w:r>
      <w:r>
        <w:rPr>
          <w:rFonts w:ascii="Arial" w:hAnsi="Arial" w:cs="Arial"/>
          <w:sz w:val="24"/>
          <w:szCs w:val="24"/>
        </w:rPr>
        <w:t xml:space="preserve"> </w:t>
      </w:r>
      <w:r w:rsidRPr="00D970F7">
        <w:rPr>
          <w:rFonts w:ascii="Arial" w:hAnsi="Arial" w:cs="Arial"/>
          <w:sz w:val="24"/>
          <w:szCs w:val="24"/>
        </w:rPr>
        <w:t>de crédito adicional, em descumprimento ao estabelecido no § 2º do art. 21, da Lei n. 11.494/2007 (item</w:t>
      </w:r>
      <w:r>
        <w:rPr>
          <w:rFonts w:ascii="Arial" w:hAnsi="Arial" w:cs="Arial"/>
          <w:sz w:val="24"/>
          <w:szCs w:val="24"/>
        </w:rPr>
        <w:t xml:space="preserve"> </w:t>
      </w:r>
      <w:r w:rsidRPr="00D970F7">
        <w:rPr>
          <w:rFonts w:ascii="Arial" w:hAnsi="Arial" w:cs="Arial"/>
          <w:sz w:val="24"/>
          <w:szCs w:val="24"/>
        </w:rPr>
        <w:t>5.2.2, limite 3, do Relatório DGO n. 244/2021).</w:t>
      </w:r>
    </w:p>
    <w:p w14:paraId="13ACD3E1" w14:textId="54535676" w:rsidR="007B79F5" w:rsidRDefault="00D970F7" w:rsidP="00D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D970F7">
        <w:rPr>
          <w:rFonts w:ascii="Arial" w:hAnsi="Arial" w:cs="Arial"/>
          <w:sz w:val="24"/>
          <w:szCs w:val="24"/>
        </w:rPr>
        <w:t>3. Recomenda ao Chefe do Poder Executivo do Município de Tunápolis, com o envolvimento</w:t>
      </w:r>
      <w:r>
        <w:rPr>
          <w:rFonts w:ascii="Arial" w:hAnsi="Arial" w:cs="Arial"/>
          <w:sz w:val="24"/>
          <w:szCs w:val="24"/>
        </w:rPr>
        <w:t xml:space="preserve"> </w:t>
      </w:r>
      <w:r w:rsidRPr="00D970F7">
        <w:rPr>
          <w:rFonts w:ascii="Arial" w:hAnsi="Arial" w:cs="Arial"/>
          <w:sz w:val="24"/>
          <w:szCs w:val="24"/>
        </w:rPr>
        <w:t>daquele Órgão Central do Sistema de Controle Interno, que preste adequadamente todas as informações</w:t>
      </w:r>
      <w:r>
        <w:rPr>
          <w:rFonts w:ascii="Arial" w:hAnsi="Arial" w:cs="Arial"/>
          <w:sz w:val="24"/>
          <w:szCs w:val="24"/>
        </w:rPr>
        <w:t xml:space="preserve"> </w:t>
      </w:r>
      <w:r w:rsidRPr="00D970F7">
        <w:rPr>
          <w:rFonts w:ascii="Arial" w:hAnsi="Arial" w:cs="Arial"/>
          <w:sz w:val="24"/>
          <w:szCs w:val="24"/>
        </w:rPr>
        <w:t>constantes no Anexo II da Instrução Normativa n. TC-20/2015, ressalvadas as informações</w:t>
      </w:r>
      <w:r>
        <w:rPr>
          <w:rFonts w:ascii="Arial" w:hAnsi="Arial" w:cs="Arial"/>
          <w:sz w:val="24"/>
          <w:szCs w:val="24"/>
        </w:rPr>
        <w:t xml:space="preserve"> </w:t>
      </w:r>
      <w:r w:rsidRPr="00D970F7">
        <w:rPr>
          <w:rFonts w:ascii="Arial" w:hAnsi="Arial" w:cs="Arial"/>
          <w:sz w:val="24"/>
          <w:szCs w:val="24"/>
        </w:rPr>
        <w:t>eventualmente consideradas facultativas, com especial atenção às informações relacionadas ao inciso</w:t>
      </w:r>
      <w:r>
        <w:rPr>
          <w:rFonts w:ascii="Arial" w:hAnsi="Arial" w:cs="Arial"/>
          <w:sz w:val="24"/>
          <w:szCs w:val="24"/>
        </w:rPr>
        <w:t xml:space="preserve"> </w:t>
      </w:r>
      <w:r w:rsidRPr="00D970F7">
        <w:rPr>
          <w:rFonts w:ascii="Arial" w:hAnsi="Arial" w:cs="Arial"/>
          <w:sz w:val="24"/>
          <w:szCs w:val="24"/>
        </w:rPr>
        <w:t>XVIII, com vistas à evidenciação dos reflexos econômicos e sociais, bem como discriminação dos gastos</w:t>
      </w:r>
      <w:r>
        <w:rPr>
          <w:rFonts w:ascii="Arial" w:hAnsi="Arial" w:cs="Arial"/>
          <w:sz w:val="24"/>
          <w:szCs w:val="24"/>
        </w:rPr>
        <w:t xml:space="preserve"> </w:t>
      </w:r>
      <w:r w:rsidRPr="00D970F7">
        <w:rPr>
          <w:rFonts w:ascii="Arial" w:hAnsi="Arial" w:cs="Arial"/>
          <w:sz w:val="24"/>
          <w:szCs w:val="24"/>
        </w:rPr>
        <w:t>extraordinários realizados pelo ente para o enfrentamento da crise sanitária oriunda da pandemia.</w:t>
      </w:r>
    </w:p>
    <w:p w14:paraId="1C28DC70" w14:textId="72CC2CB6" w:rsidR="00D970F7" w:rsidRDefault="00D970F7" w:rsidP="00D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[...]</w:t>
      </w:r>
    </w:p>
    <w:p w14:paraId="1072EA6B" w14:textId="77777777" w:rsidR="00D970F7" w:rsidRPr="00D970F7" w:rsidRDefault="00D970F7" w:rsidP="00D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D970F7">
        <w:rPr>
          <w:rFonts w:ascii="Arial" w:hAnsi="Arial" w:cs="Arial"/>
          <w:sz w:val="24"/>
          <w:szCs w:val="24"/>
        </w:rPr>
        <w:t>5. Recomenda ao Município de Tunápolis que:</w:t>
      </w:r>
    </w:p>
    <w:p w14:paraId="2397B80E" w14:textId="77777777" w:rsidR="00D970F7" w:rsidRPr="00D970F7" w:rsidRDefault="00D970F7" w:rsidP="00D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D970F7">
        <w:rPr>
          <w:rFonts w:ascii="Arial" w:hAnsi="Arial" w:cs="Arial"/>
          <w:sz w:val="24"/>
          <w:szCs w:val="24"/>
        </w:rPr>
        <w:t>5.1. efetue as adequações necessárias ao cumprimento de todos os aspectos de saúde e educação</w:t>
      </w:r>
    </w:p>
    <w:p w14:paraId="0E7CB8DF" w14:textId="77777777" w:rsidR="00D970F7" w:rsidRPr="00D970F7" w:rsidRDefault="00D970F7" w:rsidP="00D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D970F7">
        <w:rPr>
          <w:rFonts w:ascii="Arial" w:hAnsi="Arial" w:cs="Arial"/>
          <w:sz w:val="24"/>
          <w:szCs w:val="24"/>
        </w:rPr>
        <w:t>avaliados no presente exercício quanto às políticas públicas municipais;</w:t>
      </w:r>
    </w:p>
    <w:p w14:paraId="1DDC38F5" w14:textId="4E8D0B40" w:rsidR="00D970F7" w:rsidRPr="005506AB" w:rsidRDefault="00D970F7" w:rsidP="00D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D970F7">
        <w:rPr>
          <w:rFonts w:ascii="Arial" w:hAnsi="Arial" w:cs="Arial"/>
          <w:sz w:val="24"/>
          <w:szCs w:val="24"/>
        </w:rPr>
        <w:t>5.2. após o trânsito em julgado, divulgue a prestação de contas em análise e o respectivo parecer</w:t>
      </w:r>
      <w:r>
        <w:rPr>
          <w:rFonts w:ascii="Arial" w:hAnsi="Arial" w:cs="Arial"/>
          <w:sz w:val="24"/>
          <w:szCs w:val="24"/>
        </w:rPr>
        <w:t xml:space="preserve"> </w:t>
      </w:r>
      <w:r w:rsidRPr="00D970F7">
        <w:rPr>
          <w:rFonts w:ascii="Arial" w:hAnsi="Arial" w:cs="Arial"/>
          <w:sz w:val="24"/>
          <w:szCs w:val="24"/>
        </w:rPr>
        <w:t>prévio, inclusive em meios eletrônicos de acesso público, conforme estabelece o art. 48 da Lei</w:t>
      </w:r>
      <w:r>
        <w:rPr>
          <w:rFonts w:ascii="Arial" w:hAnsi="Arial" w:cs="Arial"/>
          <w:sz w:val="24"/>
          <w:szCs w:val="24"/>
        </w:rPr>
        <w:t xml:space="preserve"> </w:t>
      </w:r>
      <w:r w:rsidRPr="00D970F7">
        <w:rPr>
          <w:rFonts w:ascii="Arial" w:hAnsi="Arial" w:cs="Arial"/>
          <w:sz w:val="24"/>
          <w:szCs w:val="24"/>
        </w:rPr>
        <w:t>Complementar n. 101/2000 – LRF.</w:t>
      </w:r>
    </w:p>
    <w:p w14:paraId="55AE80C4" w14:textId="77777777" w:rsidR="007B79F5" w:rsidRPr="005506AB" w:rsidRDefault="007B79F5" w:rsidP="0055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3A1FD345" w14:textId="77777777" w:rsidR="00ED6468" w:rsidRPr="005506AB" w:rsidRDefault="00ED6468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38B04EC" w14:textId="77777777" w:rsidR="00A525B2" w:rsidRPr="005506AB" w:rsidRDefault="00ED6468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E</w:t>
      </w:r>
      <w:r w:rsidR="00A525B2" w:rsidRPr="005506AB">
        <w:rPr>
          <w:rFonts w:ascii="Arial" w:hAnsi="Arial" w:cs="Arial"/>
          <w:sz w:val="24"/>
          <w:szCs w:val="24"/>
        </w:rPr>
        <w:t xml:space="preserve">m conformidade com o Regimento Interno, a Comissão </w:t>
      </w:r>
      <w:r w:rsidR="000131A5" w:rsidRPr="005506AB">
        <w:rPr>
          <w:rFonts w:ascii="Arial" w:hAnsi="Arial" w:cs="Arial"/>
          <w:sz w:val="24"/>
          <w:szCs w:val="24"/>
        </w:rPr>
        <w:t>proverá</w:t>
      </w:r>
      <w:r w:rsidR="00A525B2" w:rsidRPr="005506AB">
        <w:rPr>
          <w:rFonts w:ascii="Arial" w:hAnsi="Arial" w:cs="Arial"/>
          <w:sz w:val="24"/>
          <w:szCs w:val="24"/>
        </w:rPr>
        <w:t xml:space="preserve"> Projeto de Decreto Legislativo pela aprovação das respectivas contas.</w:t>
      </w:r>
    </w:p>
    <w:p w14:paraId="3748D1F0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FAAB5EE" w14:textId="0A1DC539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Sala das Comissões Permanentes da Câmara Municipal de Vereadores de Tunápolis, em </w:t>
      </w:r>
      <w:r w:rsidR="00D970F7">
        <w:rPr>
          <w:rFonts w:ascii="Arial" w:hAnsi="Arial" w:cs="Arial"/>
          <w:sz w:val="24"/>
          <w:szCs w:val="24"/>
        </w:rPr>
        <w:t>26</w:t>
      </w:r>
      <w:r w:rsidR="00480590">
        <w:rPr>
          <w:rFonts w:ascii="Arial" w:hAnsi="Arial" w:cs="Arial"/>
          <w:sz w:val="24"/>
          <w:szCs w:val="24"/>
        </w:rPr>
        <w:t xml:space="preserve"> de </w:t>
      </w:r>
      <w:r w:rsidR="00D970F7">
        <w:rPr>
          <w:rFonts w:ascii="Arial" w:hAnsi="Arial" w:cs="Arial"/>
          <w:sz w:val="24"/>
          <w:szCs w:val="24"/>
        </w:rPr>
        <w:t xml:space="preserve">outubro </w:t>
      </w:r>
      <w:r w:rsidR="00480590">
        <w:rPr>
          <w:rFonts w:ascii="Arial" w:hAnsi="Arial" w:cs="Arial"/>
          <w:sz w:val="24"/>
          <w:szCs w:val="24"/>
        </w:rPr>
        <w:t>de 202</w:t>
      </w:r>
      <w:r w:rsidR="00D970F7">
        <w:rPr>
          <w:rFonts w:ascii="Arial" w:hAnsi="Arial" w:cs="Arial"/>
          <w:sz w:val="24"/>
          <w:szCs w:val="24"/>
        </w:rPr>
        <w:t>2</w:t>
      </w:r>
      <w:r w:rsidR="00480590">
        <w:rPr>
          <w:rFonts w:ascii="Arial" w:hAnsi="Arial" w:cs="Arial"/>
          <w:sz w:val="24"/>
          <w:szCs w:val="24"/>
        </w:rPr>
        <w:t>.</w:t>
      </w:r>
    </w:p>
    <w:p w14:paraId="5312722E" w14:textId="77777777" w:rsidR="00A525B2" w:rsidRPr="005506AB" w:rsidRDefault="00A525B2" w:rsidP="005506AB">
      <w:pPr>
        <w:spacing w:line="276" w:lineRule="auto"/>
        <w:ind w:firstLine="1418"/>
        <w:jc w:val="left"/>
        <w:rPr>
          <w:rFonts w:ascii="Arial" w:hAnsi="Arial" w:cs="Arial"/>
          <w:sz w:val="24"/>
          <w:szCs w:val="24"/>
        </w:rPr>
      </w:pPr>
    </w:p>
    <w:p w14:paraId="05B33F55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8915394" w14:textId="77777777" w:rsidR="00A525B2" w:rsidRPr="005506AB" w:rsidRDefault="00A525B2" w:rsidP="005506AB">
      <w:pPr>
        <w:spacing w:line="276" w:lineRule="auto"/>
        <w:ind w:firstLine="1418"/>
        <w:jc w:val="left"/>
        <w:rPr>
          <w:rFonts w:ascii="Arial" w:hAnsi="Arial" w:cs="Arial"/>
          <w:sz w:val="24"/>
          <w:szCs w:val="24"/>
        </w:rPr>
      </w:pPr>
    </w:p>
    <w:p w14:paraId="0A403B59" w14:textId="460ECF6C" w:rsidR="00A525B2" w:rsidRPr="005506AB" w:rsidRDefault="00D970F7" w:rsidP="005506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</w:t>
      </w:r>
      <w:r w:rsidR="006616F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DRO BORTOLINI </w:t>
      </w:r>
    </w:p>
    <w:p w14:paraId="5D316BFE" w14:textId="3DAB59E5" w:rsidR="00A525B2" w:rsidRDefault="00A525B2" w:rsidP="005506AB">
      <w:pPr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Relator</w:t>
      </w:r>
    </w:p>
    <w:p w14:paraId="71A46B33" w14:textId="4BB16888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003FD8C" w14:textId="6422E363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97A2CCD" w14:textId="4F157429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51631DF" w14:textId="3F83FDD8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45AE2C66" w14:textId="45EA123B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3FCA3EB8" w14:textId="4CD4F827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140CBCF" w14:textId="4DD77D4B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5EEE8FD2" w14:textId="0110428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7D4392F" w14:textId="53A2B69C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444719D" w14:textId="70C75FEF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BB8541A" w14:textId="597F4216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2171B44" w14:textId="4B7DA7F0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EA090C9" w14:textId="60DF3D65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F432561" w14:textId="7DFDE455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102D98E1" w14:textId="404E96ED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200DBDD" w14:textId="15FF77FE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4AB026D" w14:textId="2F88B716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AE49645" w14:textId="1E658F4A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3936C288" w14:textId="04D19B2D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83AB090" w14:textId="7E946C6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1F0EF758" w14:textId="1C33BBAB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7B35AA7" w14:textId="06A96FBE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D3092E8" w14:textId="3B80A1AD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50C74A0E" w14:textId="0870DD9F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CF2CAC4" w14:textId="3959AF46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40A5E3D3" w14:textId="3721F5DC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CE1DB74" w14:textId="6FACC58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5221FA4C" w14:textId="7C8C0900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3424B93" w14:textId="415A029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35216F69" w14:textId="5EBBD6D9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72E3C83" w14:textId="73D46D31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376DD774" w14:textId="0BEF514A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70E36AE" w14:textId="7754B741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807372C" w14:textId="17DC3E85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7573C3F" w14:textId="68AF251C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22F967D" w14:textId="16AD01CB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62A8E0F" w14:textId="2998899A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5BE39C9B" w14:textId="45FBC0F9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626E20D" w14:textId="7CBB0581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DCF1E93" w14:textId="7DD4B8DA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64C48006" w14:textId="617057B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DE1289F" w14:textId="31E03740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1B463C7" w14:textId="00646E63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19435C99" w14:textId="2AA29812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CÂMARA MUNICIPAL DE VEREADORES</w:t>
      </w:r>
    </w:p>
    <w:p w14:paraId="48441FA4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TUNÁPOLIS – SC</w:t>
      </w:r>
    </w:p>
    <w:p w14:paraId="787EAA0C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2E4E7589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12FFE742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7E578452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E7C4A93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145F54C" w14:textId="77777777" w:rsidR="00A525B2" w:rsidRPr="005506AB" w:rsidRDefault="00A525B2" w:rsidP="005506AB">
      <w:pPr>
        <w:widowControl w:val="0"/>
        <w:spacing w:line="276" w:lineRule="auto"/>
        <w:ind w:firstLine="1276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76166815" w14:textId="4053D7CA" w:rsidR="007C164B" w:rsidRPr="005506AB" w:rsidRDefault="0017401E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- </w:t>
      </w:r>
      <w:r w:rsidR="007C164B" w:rsidRPr="005506AB">
        <w:rPr>
          <w:rFonts w:ascii="Arial" w:hAnsi="Arial" w:cs="Arial"/>
          <w:sz w:val="24"/>
          <w:szCs w:val="24"/>
        </w:rPr>
        <w:t>Processo de Prestação de Contas do Prefeito referente ao exercício 20</w:t>
      </w:r>
      <w:r w:rsidR="00D970F7">
        <w:rPr>
          <w:rFonts w:ascii="Arial" w:hAnsi="Arial" w:cs="Arial"/>
          <w:sz w:val="24"/>
          <w:szCs w:val="24"/>
        </w:rPr>
        <w:t>20</w:t>
      </w:r>
      <w:r w:rsidR="007C164B" w:rsidRPr="005506AB">
        <w:rPr>
          <w:rFonts w:ascii="Arial" w:hAnsi="Arial" w:cs="Arial"/>
          <w:sz w:val="24"/>
          <w:szCs w:val="24"/>
        </w:rPr>
        <w:t xml:space="preserve"> (@PCP </w:t>
      </w:r>
      <w:r w:rsidR="00D970F7">
        <w:rPr>
          <w:rFonts w:ascii="Arial" w:hAnsi="Arial" w:cs="Arial"/>
          <w:sz w:val="24"/>
          <w:szCs w:val="24"/>
        </w:rPr>
        <w:t>21/00120489)</w:t>
      </w:r>
      <w:r w:rsidR="007C164B" w:rsidRPr="005506AB">
        <w:rPr>
          <w:rFonts w:ascii="Arial" w:hAnsi="Arial" w:cs="Arial"/>
          <w:sz w:val="24"/>
          <w:szCs w:val="24"/>
        </w:rPr>
        <w:t xml:space="preserve"> da Prefeitura Municipal de Tunápolis, com o Parecer Prévio do Tribunal de Contas do Estado.</w:t>
      </w:r>
    </w:p>
    <w:p w14:paraId="73E01CE1" w14:textId="54A3F4F3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7C0CD63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A9438B0" w14:textId="77777777" w:rsidR="0017401E" w:rsidRPr="005506AB" w:rsidRDefault="0017401E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3085"/>
        <w:gridCol w:w="3402"/>
        <w:gridCol w:w="2693"/>
      </w:tblGrid>
      <w:tr w:rsidR="00A525B2" w:rsidRPr="005506AB" w14:paraId="60F32B4F" w14:textId="77777777" w:rsidTr="00A525B2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F9D2A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D3D50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PELA REJEIÇÃO/APROVAÇÃO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5CC81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A525B2" w:rsidRPr="005506AB" w14:paraId="5A841EB7" w14:textId="77777777" w:rsidTr="00A525B2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D151A2" w14:textId="3837B5AF" w:rsidR="00A525B2" w:rsidRPr="005506AB" w:rsidRDefault="00D970F7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ALOÍSIO JOSÉ LEHMEN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5AF2F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E7751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5B2" w:rsidRPr="005506AB" w14:paraId="6F2AB975" w14:textId="77777777" w:rsidTr="00A525B2">
        <w:trPr>
          <w:trHeight w:val="3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B267A" w14:textId="1B2DA85E" w:rsidR="00A525B2" w:rsidRPr="005506AB" w:rsidRDefault="00310BC3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LEANDRO BORTOLINI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FE18C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C9FCA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5B2" w:rsidRPr="005506AB" w14:paraId="25BF1948" w14:textId="77777777" w:rsidTr="00A525B2">
        <w:trPr>
          <w:trHeight w:val="3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9BCBB" w14:textId="038E329D" w:rsidR="00A525B2" w:rsidRPr="005506AB" w:rsidRDefault="00D970F7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NEIDE M. S. BAMBERG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3C41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68027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9B314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397CA86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14162BB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44755090" w14:textId="317ACDC5" w:rsidR="002F0377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Reunião Ordinária realizada </w:t>
      </w:r>
      <w:r w:rsidR="00480590">
        <w:rPr>
          <w:rFonts w:ascii="Arial" w:hAnsi="Arial" w:cs="Arial"/>
          <w:sz w:val="24"/>
          <w:szCs w:val="24"/>
        </w:rPr>
        <w:t xml:space="preserve">em </w:t>
      </w:r>
      <w:r w:rsidR="00D970F7">
        <w:rPr>
          <w:rFonts w:ascii="Arial" w:hAnsi="Arial" w:cs="Arial"/>
          <w:sz w:val="24"/>
          <w:szCs w:val="24"/>
        </w:rPr>
        <w:t>26</w:t>
      </w:r>
      <w:r w:rsidR="00480590">
        <w:rPr>
          <w:rFonts w:ascii="Arial" w:hAnsi="Arial" w:cs="Arial"/>
          <w:sz w:val="24"/>
          <w:szCs w:val="24"/>
        </w:rPr>
        <w:t xml:space="preserve"> de </w:t>
      </w:r>
      <w:r w:rsidR="00D970F7">
        <w:rPr>
          <w:rFonts w:ascii="Arial" w:hAnsi="Arial" w:cs="Arial"/>
          <w:sz w:val="24"/>
          <w:szCs w:val="24"/>
        </w:rPr>
        <w:t>Outubro</w:t>
      </w:r>
      <w:r w:rsidR="00480590">
        <w:rPr>
          <w:rFonts w:ascii="Arial" w:hAnsi="Arial" w:cs="Arial"/>
          <w:sz w:val="24"/>
          <w:szCs w:val="24"/>
        </w:rPr>
        <w:t xml:space="preserve"> de 202</w:t>
      </w:r>
      <w:r w:rsidR="00D970F7">
        <w:rPr>
          <w:rFonts w:ascii="Arial" w:hAnsi="Arial" w:cs="Arial"/>
          <w:sz w:val="24"/>
          <w:szCs w:val="24"/>
        </w:rPr>
        <w:t>2</w:t>
      </w:r>
      <w:r w:rsidR="00480590">
        <w:rPr>
          <w:rFonts w:ascii="Arial" w:hAnsi="Arial" w:cs="Arial"/>
          <w:sz w:val="24"/>
          <w:szCs w:val="24"/>
        </w:rPr>
        <w:t>.</w:t>
      </w:r>
    </w:p>
    <w:sectPr w:rsidR="002F0377" w:rsidRPr="005506AB" w:rsidSect="005506AB">
      <w:pgSz w:w="11906" w:h="16838"/>
      <w:pgMar w:top="1135" w:right="170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B2"/>
    <w:rsid w:val="000131A5"/>
    <w:rsid w:val="000E59E4"/>
    <w:rsid w:val="0011006E"/>
    <w:rsid w:val="0017401E"/>
    <w:rsid w:val="001C60D3"/>
    <w:rsid w:val="002F0377"/>
    <w:rsid w:val="00310BC3"/>
    <w:rsid w:val="00480590"/>
    <w:rsid w:val="0053119A"/>
    <w:rsid w:val="00546431"/>
    <w:rsid w:val="005506AB"/>
    <w:rsid w:val="005F70BE"/>
    <w:rsid w:val="006132FA"/>
    <w:rsid w:val="006616F7"/>
    <w:rsid w:val="006B2398"/>
    <w:rsid w:val="006D25F1"/>
    <w:rsid w:val="00746EBF"/>
    <w:rsid w:val="007B79F5"/>
    <w:rsid w:val="007C164B"/>
    <w:rsid w:val="008D1826"/>
    <w:rsid w:val="00A525B2"/>
    <w:rsid w:val="00B1043C"/>
    <w:rsid w:val="00B41916"/>
    <w:rsid w:val="00C1644A"/>
    <w:rsid w:val="00C4653D"/>
    <w:rsid w:val="00C51B7E"/>
    <w:rsid w:val="00D970F7"/>
    <w:rsid w:val="00E17261"/>
    <w:rsid w:val="00E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E2F0"/>
  <w15:chartTrackingRefBased/>
  <w15:docId w15:val="{A9BD85B1-E49E-43FD-BC0C-2A27BEC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B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25B2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ED646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2022-11-16T21:20:00Z</cp:lastPrinted>
  <dcterms:created xsi:type="dcterms:W3CDTF">2022-11-04T17:59:00Z</dcterms:created>
  <dcterms:modified xsi:type="dcterms:W3CDTF">2022-11-16T21:22:00Z</dcterms:modified>
</cp:coreProperties>
</file>